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AD7B9BD" w:rsidR="00136ABB" w:rsidRPr="00CE3285" w:rsidRDefault="00D85812" w:rsidP="00136ABB">
      <w:pPr>
        <w:spacing w:line="276" w:lineRule="auto"/>
        <w:rPr>
          <w:rFonts w:asciiTheme="majorHAnsi" w:hAnsiTheme="majorHAnsi" w:cstheme="majorHAnsi"/>
          <w:color w:val="000000" w:themeColor="text1"/>
          <w:sz w:val="16"/>
          <w:szCs w:val="16"/>
        </w:rPr>
      </w:pPr>
      <w:r w:rsidRPr="00CE3285">
        <w:rPr>
          <w:rFonts w:asciiTheme="majorHAnsi" w:hAnsiTheme="majorHAnsi" w:cstheme="majorHAnsi"/>
          <w:color w:val="000000" w:themeColor="text1"/>
          <w:sz w:val="46"/>
          <w:szCs w:val="46"/>
        </w:rPr>
        <w:t>CURRICULUM (PEDAGOGY) AND EDUCATORS TRAINING POLICY</w:t>
      </w:r>
      <w:r w:rsidR="00A81408" w:rsidRPr="00CE3285">
        <w:rPr>
          <w:rFonts w:asciiTheme="majorHAnsi" w:hAnsiTheme="majorHAnsi" w:cstheme="majorHAnsi"/>
          <w:color w:val="000000" w:themeColor="text1"/>
          <w:sz w:val="46"/>
          <w:szCs w:val="46"/>
        </w:rPr>
        <w:br/>
      </w:r>
    </w:p>
    <w:p w14:paraId="57AF0F34" w14:textId="77777777" w:rsidR="00CE3285" w:rsidRPr="00CE3285" w:rsidRDefault="00CE3285" w:rsidP="00CE3285">
      <w:pPr>
        <w:spacing w:line="276" w:lineRule="auto"/>
        <w:rPr>
          <w:color w:val="000000" w:themeColor="text1"/>
          <w:sz w:val="16"/>
          <w:szCs w:val="16"/>
        </w:rPr>
      </w:pPr>
    </w:p>
    <w:p w14:paraId="71E72058" w14:textId="77777777" w:rsidR="00CE3285" w:rsidRPr="00CE3285" w:rsidRDefault="00CE3285" w:rsidP="00CE3285">
      <w:pPr>
        <w:spacing w:line="360" w:lineRule="auto"/>
        <w:rPr>
          <w:rFonts w:asciiTheme="majorHAnsi" w:hAnsiTheme="majorHAnsi"/>
          <w:b/>
          <w:color w:val="000000" w:themeColor="text1"/>
        </w:rPr>
      </w:pPr>
      <w:r w:rsidRPr="00CE3285">
        <w:rPr>
          <w:rFonts w:asciiTheme="majorHAnsi" w:hAnsiTheme="majorHAnsi"/>
          <w:color w:val="000000" w:themeColor="text1"/>
        </w:rPr>
        <w:t>The contribution of professional development to developing practice can be a source of deep professional satisfaction, for both individual practitioners and Services collectively. Through developing our capacity to link theory to practice, we deepen our understanding of the value and significance of our work. In turn, this sustains our commitment and enthusiasm and capacity to keep growing professionally and personally.</w:t>
      </w:r>
    </w:p>
    <w:p w14:paraId="4AD0C3BC" w14:textId="77777777" w:rsidR="00CE3285" w:rsidRPr="00CE3285" w:rsidRDefault="00CE3285" w:rsidP="00CE3285">
      <w:pPr>
        <w:spacing w:line="276" w:lineRule="auto"/>
        <w:rPr>
          <w:rFonts w:asciiTheme="majorHAnsi" w:hAnsiTheme="majorHAnsi"/>
          <w:b/>
          <w:color w:val="000000" w:themeColor="text1"/>
          <w:sz w:val="16"/>
          <w:szCs w:val="16"/>
        </w:rPr>
      </w:pPr>
    </w:p>
    <w:p w14:paraId="45F1CF33" w14:textId="77777777" w:rsidR="00CE3285" w:rsidRPr="00CE3285" w:rsidRDefault="00CE3285" w:rsidP="00CE3285">
      <w:pPr>
        <w:spacing w:after="0" w:line="360" w:lineRule="auto"/>
        <w:rPr>
          <w:rFonts w:asciiTheme="majorHAnsi" w:hAnsiTheme="majorHAnsi" w:cs="Arial"/>
          <w:color w:val="000000" w:themeColor="text1"/>
          <w:szCs w:val="18"/>
          <w:lang w:eastAsia="en-AU"/>
        </w:rPr>
      </w:pPr>
      <w:r w:rsidRPr="00CE3285">
        <w:rPr>
          <w:rFonts w:cs="Arial"/>
          <w:color w:val="000000" w:themeColor="text1"/>
          <w:sz w:val="24"/>
          <w:szCs w:val="24"/>
          <w:lang w:val="en-US"/>
        </w:rPr>
        <w:t>NATIONAL QUALITY STANDARD (NQS)</w:t>
      </w:r>
    </w:p>
    <w:tbl>
      <w:tblPr>
        <w:tblStyle w:val="TableGrid"/>
        <w:tblW w:w="9185" w:type="dxa"/>
        <w:tblInd w:w="-5" w:type="dxa"/>
        <w:tblLayout w:type="fixed"/>
        <w:tblLook w:val="04A0" w:firstRow="1" w:lastRow="0" w:firstColumn="1" w:lastColumn="0" w:noHBand="0" w:noVBand="1"/>
      </w:tblPr>
      <w:tblGrid>
        <w:gridCol w:w="772"/>
        <w:gridCol w:w="1893"/>
        <w:gridCol w:w="6520"/>
      </w:tblGrid>
      <w:tr w:rsidR="00CE3285" w:rsidRPr="00CE3285" w14:paraId="5DF214B0" w14:textId="77777777" w:rsidTr="00EE642B">
        <w:trPr>
          <w:trHeight w:val="495"/>
        </w:trPr>
        <w:tc>
          <w:tcPr>
            <w:tcW w:w="9185" w:type="dxa"/>
            <w:gridSpan w:val="3"/>
            <w:shd w:val="clear" w:color="auto" w:fill="D9D9D9" w:themeFill="background1" w:themeFillShade="D9"/>
            <w:vAlign w:val="center"/>
          </w:tcPr>
          <w:p w14:paraId="68A6B170" w14:textId="77777777" w:rsidR="00CE3285" w:rsidRPr="00CE3285" w:rsidRDefault="00CE3285" w:rsidP="00EE642B">
            <w:pPr>
              <w:ind w:hanging="27"/>
              <w:rPr>
                <w:rFonts w:ascii="Calibri Light" w:hAnsi="Calibri Light"/>
                <w:color w:val="000000" w:themeColor="text1"/>
                <w:sz w:val="24"/>
              </w:rPr>
            </w:pPr>
            <w:r w:rsidRPr="00CE3285">
              <w:rPr>
                <w:rFonts w:ascii="Calibri Light" w:hAnsi="Calibri Light"/>
                <w:color w:val="000000" w:themeColor="text1"/>
                <w:sz w:val="24"/>
                <w:szCs w:val="24"/>
                <w:lang w:val="en-US"/>
              </w:rPr>
              <w:t xml:space="preserve"> </w:t>
            </w:r>
            <w:r w:rsidRPr="00CE3285">
              <w:rPr>
                <w:color w:val="000000" w:themeColor="text1"/>
              </w:rPr>
              <w:t xml:space="preserve">QUALITY AREA 7:  </w:t>
            </w:r>
            <w:r w:rsidRPr="00CE3285">
              <w:rPr>
                <w:rFonts w:ascii="Calibri Light" w:hAnsi="Calibri Light"/>
                <w:color w:val="000000" w:themeColor="text1"/>
                <w:sz w:val="24"/>
                <w:szCs w:val="24"/>
                <w:lang w:val="en-US"/>
              </w:rPr>
              <w:t>GOVERNANCE AND LEADERSHIP</w:t>
            </w:r>
          </w:p>
        </w:tc>
      </w:tr>
      <w:tr w:rsidR="00CE3285" w:rsidRPr="00CE3285" w14:paraId="5E3973EF" w14:textId="77777777" w:rsidTr="00EE642B">
        <w:trPr>
          <w:trHeight w:val="503"/>
        </w:trPr>
        <w:tc>
          <w:tcPr>
            <w:tcW w:w="772" w:type="dxa"/>
            <w:vAlign w:val="center"/>
          </w:tcPr>
          <w:p w14:paraId="2B109F92"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7.1</w:t>
            </w:r>
          </w:p>
        </w:tc>
        <w:tc>
          <w:tcPr>
            <w:tcW w:w="1893" w:type="dxa"/>
            <w:vAlign w:val="center"/>
          </w:tcPr>
          <w:p w14:paraId="37C672A4"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Governance </w:t>
            </w:r>
          </w:p>
        </w:tc>
        <w:tc>
          <w:tcPr>
            <w:tcW w:w="6520" w:type="dxa"/>
            <w:vAlign w:val="center"/>
          </w:tcPr>
          <w:p w14:paraId="5328C5C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Governance supports the operation of a quality service. </w:t>
            </w:r>
          </w:p>
        </w:tc>
      </w:tr>
      <w:tr w:rsidR="00CE3285" w:rsidRPr="00CE3285" w14:paraId="78388C0C" w14:textId="77777777" w:rsidTr="00EE642B">
        <w:trPr>
          <w:trHeight w:val="666"/>
        </w:trPr>
        <w:tc>
          <w:tcPr>
            <w:tcW w:w="772" w:type="dxa"/>
            <w:shd w:val="clear" w:color="auto" w:fill="F2F2F2" w:themeFill="background1" w:themeFillShade="F2"/>
            <w:vAlign w:val="center"/>
          </w:tcPr>
          <w:p w14:paraId="5D217A94"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7.1.1</w:t>
            </w:r>
          </w:p>
        </w:tc>
        <w:tc>
          <w:tcPr>
            <w:tcW w:w="1893" w:type="dxa"/>
            <w:shd w:val="clear" w:color="auto" w:fill="F2F2F2" w:themeFill="background1" w:themeFillShade="F2"/>
            <w:vAlign w:val="center"/>
          </w:tcPr>
          <w:p w14:paraId="6868690A"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Service philosophy and purposes </w:t>
            </w:r>
          </w:p>
        </w:tc>
        <w:tc>
          <w:tcPr>
            <w:tcW w:w="6520" w:type="dxa"/>
            <w:shd w:val="clear" w:color="auto" w:fill="F2F2F2" w:themeFill="background1" w:themeFillShade="F2"/>
            <w:vAlign w:val="center"/>
          </w:tcPr>
          <w:p w14:paraId="08928658"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A statement of philosophy guides all aspects of the service’s operations.</w:t>
            </w:r>
          </w:p>
        </w:tc>
      </w:tr>
      <w:tr w:rsidR="00CE3285" w:rsidRPr="00CE3285" w14:paraId="1F982BFC" w14:textId="77777777" w:rsidTr="00EE642B">
        <w:trPr>
          <w:trHeight w:val="595"/>
        </w:trPr>
        <w:tc>
          <w:tcPr>
            <w:tcW w:w="772" w:type="dxa"/>
            <w:vAlign w:val="center"/>
          </w:tcPr>
          <w:p w14:paraId="2C619D66"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7.1.2</w:t>
            </w:r>
          </w:p>
        </w:tc>
        <w:tc>
          <w:tcPr>
            <w:tcW w:w="1893" w:type="dxa"/>
            <w:vAlign w:val="center"/>
          </w:tcPr>
          <w:p w14:paraId="37E02168"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Management Systems </w:t>
            </w:r>
          </w:p>
        </w:tc>
        <w:tc>
          <w:tcPr>
            <w:tcW w:w="6520" w:type="dxa"/>
            <w:vAlign w:val="center"/>
          </w:tcPr>
          <w:p w14:paraId="2C6E53F8"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Systems are in place to manage risk and enable the effective management and operation of a quality service. </w:t>
            </w:r>
          </w:p>
        </w:tc>
      </w:tr>
      <w:tr w:rsidR="00CE3285" w:rsidRPr="00CE3285" w14:paraId="3F014BFC" w14:textId="77777777" w:rsidTr="00EE642B">
        <w:trPr>
          <w:trHeight w:val="670"/>
        </w:trPr>
        <w:tc>
          <w:tcPr>
            <w:tcW w:w="772" w:type="dxa"/>
            <w:shd w:val="clear" w:color="auto" w:fill="F2F2F2" w:themeFill="background1" w:themeFillShade="F2"/>
            <w:vAlign w:val="center"/>
          </w:tcPr>
          <w:p w14:paraId="2BDC22B0"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7.1.3</w:t>
            </w:r>
          </w:p>
        </w:tc>
        <w:tc>
          <w:tcPr>
            <w:tcW w:w="1893" w:type="dxa"/>
            <w:shd w:val="clear" w:color="auto" w:fill="F2F2F2" w:themeFill="background1" w:themeFillShade="F2"/>
            <w:vAlign w:val="center"/>
          </w:tcPr>
          <w:p w14:paraId="372B7FF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Roles and Responsibilities </w:t>
            </w:r>
          </w:p>
        </w:tc>
        <w:tc>
          <w:tcPr>
            <w:tcW w:w="6520" w:type="dxa"/>
            <w:shd w:val="clear" w:color="auto" w:fill="F2F2F2" w:themeFill="background1" w:themeFillShade="F2"/>
            <w:vAlign w:val="center"/>
          </w:tcPr>
          <w:p w14:paraId="1ADA2D1C"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Roles and responsibilities are clearly defined and understood and support effective decision making and operation of the service. </w:t>
            </w:r>
          </w:p>
        </w:tc>
      </w:tr>
      <w:tr w:rsidR="00CE3285" w:rsidRPr="00CE3285" w14:paraId="6422FDE7" w14:textId="77777777" w:rsidTr="00EE642B">
        <w:trPr>
          <w:trHeight w:val="595"/>
        </w:trPr>
        <w:tc>
          <w:tcPr>
            <w:tcW w:w="772" w:type="dxa"/>
            <w:shd w:val="clear" w:color="auto" w:fill="auto"/>
            <w:vAlign w:val="center"/>
          </w:tcPr>
          <w:p w14:paraId="2FCCE0F5"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7.2</w:t>
            </w:r>
          </w:p>
        </w:tc>
        <w:tc>
          <w:tcPr>
            <w:tcW w:w="1893" w:type="dxa"/>
            <w:shd w:val="clear" w:color="auto" w:fill="auto"/>
            <w:vAlign w:val="center"/>
          </w:tcPr>
          <w:p w14:paraId="61DEEBB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Leadership </w:t>
            </w:r>
          </w:p>
        </w:tc>
        <w:tc>
          <w:tcPr>
            <w:tcW w:w="6520" w:type="dxa"/>
            <w:shd w:val="clear" w:color="auto" w:fill="auto"/>
            <w:vAlign w:val="center"/>
          </w:tcPr>
          <w:p w14:paraId="4006E8E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Effective leadership builds and promotes a positive organisational culture and professional learning community. </w:t>
            </w:r>
          </w:p>
        </w:tc>
      </w:tr>
      <w:tr w:rsidR="00CE3285" w:rsidRPr="00CE3285" w14:paraId="6CFD02D5" w14:textId="77777777" w:rsidTr="00EE642B">
        <w:trPr>
          <w:trHeight w:val="595"/>
        </w:trPr>
        <w:tc>
          <w:tcPr>
            <w:tcW w:w="772" w:type="dxa"/>
            <w:shd w:val="clear" w:color="auto" w:fill="F2F2F2" w:themeFill="background1" w:themeFillShade="F2"/>
            <w:vAlign w:val="center"/>
          </w:tcPr>
          <w:p w14:paraId="2D736208"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7.2.1</w:t>
            </w:r>
          </w:p>
        </w:tc>
        <w:tc>
          <w:tcPr>
            <w:tcW w:w="1893" w:type="dxa"/>
            <w:shd w:val="clear" w:color="auto" w:fill="F2F2F2" w:themeFill="background1" w:themeFillShade="F2"/>
            <w:vAlign w:val="center"/>
          </w:tcPr>
          <w:p w14:paraId="3E84A1F3"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Continuous improvement </w:t>
            </w:r>
          </w:p>
        </w:tc>
        <w:tc>
          <w:tcPr>
            <w:tcW w:w="6520" w:type="dxa"/>
            <w:shd w:val="clear" w:color="auto" w:fill="F2F2F2" w:themeFill="background1" w:themeFillShade="F2"/>
            <w:vAlign w:val="center"/>
          </w:tcPr>
          <w:p w14:paraId="0145C757"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There is an effective self-assessment and quality improvement process in place. </w:t>
            </w:r>
          </w:p>
        </w:tc>
      </w:tr>
      <w:tr w:rsidR="00CE3285" w:rsidRPr="00CE3285" w14:paraId="74A92A2C" w14:textId="77777777" w:rsidTr="00EE642B">
        <w:trPr>
          <w:trHeight w:val="595"/>
        </w:trPr>
        <w:tc>
          <w:tcPr>
            <w:tcW w:w="772" w:type="dxa"/>
            <w:shd w:val="clear" w:color="auto" w:fill="auto"/>
            <w:vAlign w:val="center"/>
          </w:tcPr>
          <w:p w14:paraId="4162A85B"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7.2.2</w:t>
            </w:r>
          </w:p>
        </w:tc>
        <w:tc>
          <w:tcPr>
            <w:tcW w:w="1893" w:type="dxa"/>
            <w:shd w:val="clear" w:color="auto" w:fill="auto"/>
            <w:vAlign w:val="center"/>
          </w:tcPr>
          <w:p w14:paraId="00E17D8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Educational leadership </w:t>
            </w:r>
          </w:p>
        </w:tc>
        <w:tc>
          <w:tcPr>
            <w:tcW w:w="6520" w:type="dxa"/>
            <w:shd w:val="clear" w:color="auto" w:fill="auto"/>
            <w:vAlign w:val="center"/>
          </w:tcPr>
          <w:p w14:paraId="659A89E6"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The educational leader is supported and leads the development and implementation of the educational program and assessment and planning cycle. </w:t>
            </w:r>
          </w:p>
        </w:tc>
      </w:tr>
      <w:tr w:rsidR="00CE3285" w:rsidRPr="00CE3285" w14:paraId="1A42AC7C" w14:textId="77777777" w:rsidTr="00EE642B">
        <w:trPr>
          <w:trHeight w:val="595"/>
        </w:trPr>
        <w:tc>
          <w:tcPr>
            <w:tcW w:w="772" w:type="dxa"/>
            <w:shd w:val="clear" w:color="auto" w:fill="F2F2F2" w:themeFill="background1" w:themeFillShade="F2"/>
            <w:vAlign w:val="center"/>
          </w:tcPr>
          <w:p w14:paraId="18C3DBB0"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olor w:val="000000" w:themeColor="text1"/>
              </w:rPr>
              <w:t>7.2.3</w:t>
            </w:r>
          </w:p>
        </w:tc>
        <w:tc>
          <w:tcPr>
            <w:tcW w:w="1893" w:type="dxa"/>
            <w:shd w:val="clear" w:color="auto" w:fill="F2F2F2" w:themeFill="background1" w:themeFillShade="F2"/>
            <w:vAlign w:val="center"/>
          </w:tcPr>
          <w:p w14:paraId="2CCFB299"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Development of professionals </w:t>
            </w:r>
          </w:p>
        </w:tc>
        <w:tc>
          <w:tcPr>
            <w:tcW w:w="6520" w:type="dxa"/>
            <w:shd w:val="clear" w:color="auto" w:fill="F2F2F2" w:themeFill="background1" w:themeFillShade="F2"/>
            <w:vAlign w:val="center"/>
          </w:tcPr>
          <w:p w14:paraId="3703723F" w14:textId="77777777" w:rsidR="00CE3285" w:rsidRPr="00CE3285" w:rsidRDefault="00CE3285" w:rsidP="00EE642B">
            <w:pPr>
              <w:rPr>
                <w:rFonts w:asciiTheme="majorHAnsi" w:hAnsiTheme="majorHAnsi"/>
                <w:color w:val="000000" w:themeColor="text1"/>
              </w:rPr>
            </w:pPr>
            <w:r w:rsidRPr="00CE3285">
              <w:rPr>
                <w:rFonts w:asciiTheme="majorHAnsi" w:hAnsiTheme="majorHAnsi"/>
                <w:color w:val="000000" w:themeColor="text1"/>
              </w:rPr>
              <w:t xml:space="preserve">Educators, co-ordinations and staff members’ performance is regularly </w:t>
            </w:r>
            <w:proofErr w:type="gramStart"/>
            <w:r w:rsidRPr="00CE3285">
              <w:rPr>
                <w:rFonts w:asciiTheme="majorHAnsi" w:hAnsiTheme="majorHAnsi"/>
                <w:color w:val="000000" w:themeColor="text1"/>
              </w:rPr>
              <w:t>evaluated</w:t>
            </w:r>
            <w:proofErr w:type="gramEnd"/>
            <w:r w:rsidRPr="00CE3285">
              <w:rPr>
                <w:rFonts w:asciiTheme="majorHAnsi" w:hAnsiTheme="majorHAnsi"/>
                <w:color w:val="000000" w:themeColor="text1"/>
              </w:rPr>
              <w:t xml:space="preserve"> and individual plans are in place to support learning and development. </w:t>
            </w:r>
          </w:p>
        </w:tc>
      </w:tr>
    </w:tbl>
    <w:p w14:paraId="0ADFE379" w14:textId="77777777" w:rsidR="00CE3285" w:rsidRPr="00CE3285" w:rsidRDefault="00CE3285" w:rsidP="00CE3285">
      <w:pPr>
        <w:spacing w:line="360" w:lineRule="auto"/>
        <w:rPr>
          <w:rFonts w:cs="Arial"/>
          <w:color w:val="000000" w:themeColor="text1"/>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CE3285" w:rsidRPr="00CE3285" w14:paraId="392F9CEE" w14:textId="77777777" w:rsidTr="00EE642B">
        <w:trPr>
          <w:trHeight w:val="528"/>
        </w:trPr>
        <w:tc>
          <w:tcPr>
            <w:tcW w:w="9185" w:type="dxa"/>
            <w:gridSpan w:val="2"/>
            <w:shd w:val="clear" w:color="auto" w:fill="F2F2F2" w:themeFill="background1" w:themeFillShade="F2"/>
            <w:vAlign w:val="center"/>
          </w:tcPr>
          <w:p w14:paraId="4A2644F1" w14:textId="77777777" w:rsidR="00CE3285" w:rsidRPr="00CE3285" w:rsidRDefault="00CE3285" w:rsidP="00EE642B">
            <w:pPr>
              <w:ind w:hanging="27"/>
              <w:rPr>
                <w:rFonts w:ascii="Calibri Light" w:hAnsi="Calibri Light"/>
                <w:color w:val="000000" w:themeColor="text1"/>
                <w:sz w:val="24"/>
              </w:rPr>
            </w:pPr>
            <w:r w:rsidRPr="00CE3285">
              <w:rPr>
                <w:rFonts w:cs="Arial"/>
                <w:color w:val="000000" w:themeColor="text1"/>
                <w:sz w:val="24"/>
                <w:szCs w:val="24"/>
                <w:lang w:val="en-US"/>
              </w:rPr>
              <w:t>EDUCATION AND CARE SERVICES NATIONAL REGULATIONS</w:t>
            </w:r>
          </w:p>
        </w:tc>
      </w:tr>
      <w:tr w:rsidR="00CE3285" w:rsidRPr="00CE3285" w14:paraId="28E53D6C" w14:textId="77777777" w:rsidTr="00EE642B">
        <w:trPr>
          <w:trHeight w:val="504"/>
        </w:trPr>
        <w:tc>
          <w:tcPr>
            <w:tcW w:w="1106" w:type="dxa"/>
            <w:vAlign w:val="center"/>
          </w:tcPr>
          <w:p w14:paraId="72A425F5" w14:textId="77777777" w:rsidR="00CE3285" w:rsidRPr="00CE3285" w:rsidRDefault="00CE3285" w:rsidP="00EE642B">
            <w:pPr>
              <w:jc w:val="center"/>
              <w:rPr>
                <w:rFonts w:asciiTheme="majorHAnsi" w:hAnsiTheme="majorHAnsi" w:cs="Calibri"/>
                <w:color w:val="000000" w:themeColor="text1"/>
              </w:rPr>
            </w:pPr>
            <w:r w:rsidRPr="00CE3285">
              <w:rPr>
                <w:rFonts w:asciiTheme="majorHAnsi" w:hAnsiTheme="majorHAnsi" w:cs="Calibri"/>
                <w:color w:val="000000" w:themeColor="text1"/>
              </w:rPr>
              <w:t>84</w:t>
            </w:r>
          </w:p>
        </w:tc>
        <w:tc>
          <w:tcPr>
            <w:tcW w:w="8079" w:type="dxa"/>
            <w:vAlign w:val="center"/>
          </w:tcPr>
          <w:p w14:paraId="1E511D7E" w14:textId="77777777" w:rsidR="00CE3285" w:rsidRPr="00CE3285" w:rsidRDefault="00CE3285" w:rsidP="00EE642B">
            <w:pPr>
              <w:rPr>
                <w:rFonts w:asciiTheme="majorHAnsi" w:hAnsiTheme="majorHAnsi" w:cs="Calibri"/>
                <w:color w:val="000000" w:themeColor="text1"/>
              </w:rPr>
            </w:pPr>
            <w:r w:rsidRPr="00CE3285">
              <w:rPr>
                <w:rFonts w:asciiTheme="majorHAnsi" w:hAnsiTheme="majorHAnsi" w:cs="Calibri"/>
                <w:color w:val="000000" w:themeColor="text1"/>
              </w:rPr>
              <w:t>Awareness of child protection law</w:t>
            </w:r>
          </w:p>
        </w:tc>
      </w:tr>
      <w:tr w:rsidR="00CE3285" w:rsidRPr="00CE3285" w14:paraId="6D0B2746" w14:textId="77777777" w:rsidTr="00EE642B">
        <w:trPr>
          <w:trHeight w:val="504"/>
        </w:trPr>
        <w:tc>
          <w:tcPr>
            <w:tcW w:w="1106" w:type="dxa"/>
            <w:shd w:val="clear" w:color="auto" w:fill="F2F2F2" w:themeFill="background1" w:themeFillShade="F2"/>
            <w:vAlign w:val="center"/>
          </w:tcPr>
          <w:p w14:paraId="7D72191E" w14:textId="77777777" w:rsidR="00CE3285" w:rsidRPr="00CE3285" w:rsidRDefault="00CE3285" w:rsidP="00EE642B">
            <w:pPr>
              <w:jc w:val="center"/>
              <w:rPr>
                <w:rFonts w:asciiTheme="majorHAnsi" w:hAnsiTheme="majorHAnsi" w:cs="Calibri"/>
                <w:color w:val="000000" w:themeColor="text1"/>
              </w:rPr>
            </w:pPr>
            <w:r w:rsidRPr="00CE3285">
              <w:rPr>
                <w:rFonts w:asciiTheme="majorHAnsi" w:hAnsiTheme="majorHAnsi" w:cs="Calibri"/>
                <w:color w:val="000000" w:themeColor="text1"/>
              </w:rPr>
              <w:t>118</w:t>
            </w:r>
          </w:p>
        </w:tc>
        <w:tc>
          <w:tcPr>
            <w:tcW w:w="8079" w:type="dxa"/>
            <w:shd w:val="clear" w:color="auto" w:fill="F2F2F2" w:themeFill="background1" w:themeFillShade="F2"/>
            <w:vAlign w:val="center"/>
          </w:tcPr>
          <w:p w14:paraId="1D3A9FA4" w14:textId="77777777" w:rsidR="00CE3285" w:rsidRPr="00CE3285" w:rsidRDefault="00CE3285" w:rsidP="00EE642B">
            <w:pPr>
              <w:rPr>
                <w:rFonts w:asciiTheme="majorHAnsi" w:hAnsiTheme="majorHAnsi" w:cs="Calibri"/>
                <w:color w:val="000000" w:themeColor="text1"/>
              </w:rPr>
            </w:pPr>
            <w:r w:rsidRPr="00CE3285">
              <w:rPr>
                <w:rFonts w:asciiTheme="majorHAnsi" w:hAnsiTheme="majorHAnsi" w:cs="Calibri"/>
                <w:color w:val="000000" w:themeColor="text1"/>
              </w:rPr>
              <w:t>Educational Leader</w:t>
            </w:r>
          </w:p>
        </w:tc>
      </w:tr>
      <w:tr w:rsidR="00CE3285" w:rsidRPr="00CE3285" w14:paraId="0F0B8CF5" w14:textId="77777777" w:rsidTr="00EE642B">
        <w:trPr>
          <w:trHeight w:val="504"/>
        </w:trPr>
        <w:tc>
          <w:tcPr>
            <w:tcW w:w="1106" w:type="dxa"/>
            <w:vAlign w:val="center"/>
          </w:tcPr>
          <w:p w14:paraId="5FEE9A52" w14:textId="77777777" w:rsidR="00CE3285" w:rsidRPr="00CE3285" w:rsidRDefault="00CE3285" w:rsidP="00EE642B">
            <w:pPr>
              <w:jc w:val="center"/>
              <w:rPr>
                <w:rFonts w:asciiTheme="majorHAnsi" w:hAnsiTheme="majorHAnsi" w:cs="Calibri"/>
                <w:color w:val="000000" w:themeColor="text1"/>
              </w:rPr>
            </w:pPr>
            <w:r w:rsidRPr="00CE3285">
              <w:rPr>
                <w:rFonts w:asciiTheme="majorHAnsi" w:hAnsiTheme="majorHAnsi" w:cs="Calibri"/>
                <w:color w:val="000000" w:themeColor="text1"/>
              </w:rPr>
              <w:t>126</w:t>
            </w:r>
          </w:p>
        </w:tc>
        <w:tc>
          <w:tcPr>
            <w:tcW w:w="8079" w:type="dxa"/>
            <w:vAlign w:val="center"/>
          </w:tcPr>
          <w:p w14:paraId="5FA31939" w14:textId="77777777" w:rsidR="00CE3285" w:rsidRPr="00CE3285" w:rsidRDefault="00CE3285" w:rsidP="00EE642B">
            <w:pPr>
              <w:rPr>
                <w:rFonts w:asciiTheme="majorHAnsi" w:hAnsiTheme="majorHAnsi" w:cs="Calibri"/>
                <w:color w:val="000000" w:themeColor="text1"/>
              </w:rPr>
            </w:pPr>
            <w:r w:rsidRPr="00CE3285">
              <w:rPr>
                <w:rFonts w:asciiTheme="majorHAnsi" w:hAnsiTheme="majorHAnsi" w:cs="Calibri"/>
                <w:color w:val="000000" w:themeColor="text1"/>
              </w:rPr>
              <w:t>Centre-Based services- general educator qualifications</w:t>
            </w:r>
          </w:p>
        </w:tc>
      </w:tr>
      <w:tr w:rsidR="00CE3285" w:rsidRPr="00CE3285" w14:paraId="2CF51FDA" w14:textId="77777777" w:rsidTr="00EE642B">
        <w:trPr>
          <w:trHeight w:val="504"/>
        </w:trPr>
        <w:tc>
          <w:tcPr>
            <w:tcW w:w="1106" w:type="dxa"/>
            <w:shd w:val="clear" w:color="auto" w:fill="F2F2F2" w:themeFill="background1" w:themeFillShade="F2"/>
            <w:vAlign w:val="center"/>
          </w:tcPr>
          <w:p w14:paraId="492B4009" w14:textId="77777777" w:rsidR="00CE3285" w:rsidRPr="00CE3285" w:rsidRDefault="00CE3285" w:rsidP="00EE642B">
            <w:pPr>
              <w:jc w:val="center"/>
              <w:rPr>
                <w:rFonts w:asciiTheme="majorHAnsi" w:hAnsiTheme="majorHAnsi" w:cs="Calibri"/>
                <w:color w:val="000000" w:themeColor="text1"/>
              </w:rPr>
            </w:pPr>
            <w:r w:rsidRPr="00CE3285">
              <w:rPr>
                <w:rFonts w:asciiTheme="majorHAnsi" w:hAnsiTheme="majorHAnsi" w:cs="Calibri"/>
                <w:color w:val="000000" w:themeColor="text1"/>
              </w:rPr>
              <w:lastRenderedPageBreak/>
              <w:t>136</w:t>
            </w:r>
          </w:p>
        </w:tc>
        <w:tc>
          <w:tcPr>
            <w:tcW w:w="8079" w:type="dxa"/>
            <w:shd w:val="clear" w:color="auto" w:fill="F2F2F2" w:themeFill="background1" w:themeFillShade="F2"/>
            <w:vAlign w:val="center"/>
          </w:tcPr>
          <w:p w14:paraId="1B44797B" w14:textId="77777777" w:rsidR="00CE3285" w:rsidRPr="00CE3285" w:rsidRDefault="00CE3285" w:rsidP="00EE642B">
            <w:pPr>
              <w:rPr>
                <w:rFonts w:asciiTheme="majorHAnsi" w:hAnsiTheme="majorHAnsi" w:cs="Calibri"/>
                <w:color w:val="000000" w:themeColor="text1"/>
              </w:rPr>
            </w:pPr>
            <w:r w:rsidRPr="00CE3285">
              <w:rPr>
                <w:rFonts w:asciiTheme="majorHAnsi" w:hAnsiTheme="majorHAnsi" w:cs="Calibri"/>
                <w:color w:val="000000" w:themeColor="text1"/>
              </w:rPr>
              <w:t>First Aid qualifications</w:t>
            </w:r>
          </w:p>
        </w:tc>
      </w:tr>
      <w:tr w:rsidR="00CE3285" w:rsidRPr="00CE3285" w14:paraId="326E0EEC" w14:textId="77777777" w:rsidTr="00EE642B">
        <w:trPr>
          <w:trHeight w:val="504"/>
        </w:trPr>
        <w:tc>
          <w:tcPr>
            <w:tcW w:w="1106" w:type="dxa"/>
            <w:vAlign w:val="center"/>
          </w:tcPr>
          <w:p w14:paraId="52D3C290" w14:textId="77777777" w:rsidR="00CE3285" w:rsidRPr="00CE3285" w:rsidRDefault="00CE3285" w:rsidP="00EE642B">
            <w:pPr>
              <w:jc w:val="center"/>
              <w:rPr>
                <w:rFonts w:asciiTheme="majorHAnsi" w:hAnsiTheme="majorHAnsi"/>
                <w:color w:val="000000" w:themeColor="text1"/>
              </w:rPr>
            </w:pPr>
            <w:r w:rsidRPr="00CE3285">
              <w:rPr>
                <w:rFonts w:asciiTheme="majorHAnsi" w:hAnsiTheme="majorHAnsi" w:cs="Calibri"/>
                <w:color w:val="000000" w:themeColor="text1"/>
              </w:rPr>
              <w:t>168</w:t>
            </w:r>
          </w:p>
        </w:tc>
        <w:tc>
          <w:tcPr>
            <w:tcW w:w="8079" w:type="dxa"/>
            <w:vAlign w:val="center"/>
          </w:tcPr>
          <w:p w14:paraId="20DBFC62" w14:textId="77777777" w:rsidR="00CE3285" w:rsidRPr="00CE3285" w:rsidRDefault="00CE3285" w:rsidP="00EE642B">
            <w:pPr>
              <w:rPr>
                <w:rFonts w:asciiTheme="majorHAnsi" w:hAnsiTheme="majorHAnsi"/>
                <w:color w:val="000000" w:themeColor="text1"/>
              </w:rPr>
            </w:pPr>
            <w:r w:rsidRPr="00CE3285">
              <w:rPr>
                <w:rFonts w:asciiTheme="majorHAnsi" w:hAnsiTheme="majorHAnsi" w:cs="Calibri"/>
                <w:color w:val="000000" w:themeColor="text1"/>
              </w:rPr>
              <w:t>Education and care service must have policies and procedures.</w:t>
            </w:r>
          </w:p>
        </w:tc>
      </w:tr>
    </w:tbl>
    <w:p w14:paraId="433F4CF9" w14:textId="77777777" w:rsidR="00CE3285" w:rsidRPr="00CE3285" w:rsidRDefault="00CE3285" w:rsidP="00CE3285">
      <w:pPr>
        <w:spacing w:line="360" w:lineRule="auto"/>
        <w:rPr>
          <w:rFonts w:cs="Arial"/>
          <w:color w:val="000000" w:themeColor="text1"/>
          <w:sz w:val="24"/>
          <w:szCs w:val="24"/>
          <w:lang w:val="en-US"/>
        </w:rPr>
      </w:pPr>
    </w:p>
    <w:p w14:paraId="6E78D31B" w14:textId="77777777" w:rsidR="00CE3285" w:rsidRPr="00CE3285" w:rsidRDefault="00CE3285" w:rsidP="00CE3285">
      <w:pPr>
        <w:spacing w:line="360" w:lineRule="auto"/>
        <w:rPr>
          <w:rFonts w:cs="Arial"/>
          <w:color w:val="000000" w:themeColor="text1"/>
          <w:sz w:val="24"/>
          <w:szCs w:val="24"/>
          <w:lang w:val="en-US"/>
        </w:rPr>
      </w:pPr>
      <w:r w:rsidRPr="00CE3285">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CE3285" w:rsidRPr="00CE3285" w14:paraId="53ED0CBC" w14:textId="77777777" w:rsidTr="00EE642B">
        <w:trPr>
          <w:trHeight w:val="927"/>
        </w:trPr>
        <w:tc>
          <w:tcPr>
            <w:tcW w:w="4590" w:type="dxa"/>
            <w:vAlign w:val="center"/>
          </w:tcPr>
          <w:p w14:paraId="2C47AD2B" w14:textId="77777777" w:rsidR="00CE3285" w:rsidRPr="00CE3285" w:rsidRDefault="00CE3285" w:rsidP="00EE642B">
            <w:pPr>
              <w:rPr>
                <w:rFonts w:asciiTheme="majorHAnsi" w:hAnsiTheme="majorHAnsi"/>
                <w:bCs/>
                <w:color w:val="000000" w:themeColor="text1"/>
              </w:rPr>
            </w:pPr>
            <w:r w:rsidRPr="00CE3285">
              <w:rPr>
                <w:rFonts w:asciiTheme="majorHAnsi" w:hAnsiTheme="majorHAnsi"/>
                <w:color w:val="000000" w:themeColor="text1"/>
              </w:rPr>
              <w:t>Code of Conduct Policy</w:t>
            </w:r>
          </w:p>
          <w:p w14:paraId="54CB15EC" w14:textId="77777777" w:rsidR="00CE3285" w:rsidRPr="00CE3285" w:rsidRDefault="00CE3285" w:rsidP="00EE642B">
            <w:pPr>
              <w:rPr>
                <w:rFonts w:asciiTheme="majorHAnsi" w:hAnsiTheme="majorHAnsi"/>
                <w:bCs/>
                <w:color w:val="000000" w:themeColor="text1"/>
              </w:rPr>
            </w:pPr>
            <w:r w:rsidRPr="00CE3285">
              <w:rPr>
                <w:rFonts w:asciiTheme="majorHAnsi" w:hAnsiTheme="majorHAnsi"/>
                <w:color w:val="000000" w:themeColor="text1"/>
              </w:rPr>
              <w:t xml:space="preserve">In-Service and Staff Development Policy </w:t>
            </w:r>
          </w:p>
        </w:tc>
        <w:tc>
          <w:tcPr>
            <w:tcW w:w="4590" w:type="dxa"/>
            <w:vAlign w:val="center"/>
          </w:tcPr>
          <w:p w14:paraId="0E14EDA2" w14:textId="77777777" w:rsidR="00CE3285" w:rsidRPr="00CE3285" w:rsidRDefault="00CE3285" w:rsidP="00EE642B">
            <w:pPr>
              <w:spacing w:line="276" w:lineRule="auto"/>
              <w:rPr>
                <w:rFonts w:asciiTheme="majorHAnsi" w:hAnsiTheme="majorHAnsi"/>
                <w:b/>
                <w:bCs/>
                <w:color w:val="000000" w:themeColor="text1"/>
              </w:rPr>
            </w:pPr>
            <w:r w:rsidRPr="00CE3285">
              <w:rPr>
                <w:rFonts w:asciiTheme="majorHAnsi" w:hAnsiTheme="majorHAnsi"/>
                <w:color w:val="000000" w:themeColor="text1"/>
              </w:rPr>
              <w:t xml:space="preserve">Work Health and Safety Policy  </w:t>
            </w:r>
          </w:p>
        </w:tc>
      </w:tr>
    </w:tbl>
    <w:p w14:paraId="480E5A91" w14:textId="77777777" w:rsidR="00CE3285" w:rsidRPr="00CE3285" w:rsidRDefault="00CE3285" w:rsidP="00CE3285">
      <w:pPr>
        <w:spacing w:line="360" w:lineRule="auto"/>
        <w:rPr>
          <w:rFonts w:cs="Arial"/>
          <w:color w:val="000000" w:themeColor="text1"/>
          <w:sz w:val="24"/>
          <w:szCs w:val="24"/>
          <w:lang w:val="en-US"/>
        </w:rPr>
      </w:pPr>
    </w:p>
    <w:p w14:paraId="69B55772" w14:textId="77777777" w:rsidR="00CE3285" w:rsidRPr="00CE3285" w:rsidRDefault="00CE3285" w:rsidP="00CE3285">
      <w:pPr>
        <w:spacing w:line="360" w:lineRule="auto"/>
        <w:rPr>
          <w:rFonts w:asciiTheme="majorHAnsi" w:hAnsiTheme="majorHAnsi" w:cs="Arial"/>
          <w:color w:val="000000" w:themeColor="text1"/>
        </w:rPr>
      </w:pPr>
      <w:r w:rsidRPr="00CE3285">
        <w:rPr>
          <w:rFonts w:cs="Arial"/>
          <w:color w:val="000000" w:themeColor="text1"/>
          <w:sz w:val="24"/>
          <w:szCs w:val="24"/>
        </w:rPr>
        <w:t>PURPOSE</w:t>
      </w:r>
    </w:p>
    <w:p w14:paraId="6CE8AA65" w14:textId="77777777" w:rsidR="00CE3285" w:rsidRPr="00CE3285" w:rsidRDefault="00CE3285" w:rsidP="00CE3285">
      <w:pPr>
        <w:spacing w:after="0" w:line="360" w:lineRule="auto"/>
        <w:rPr>
          <w:rFonts w:asciiTheme="majorHAnsi" w:hAnsiTheme="majorHAnsi"/>
          <w:color w:val="000000" w:themeColor="text1"/>
        </w:rPr>
      </w:pPr>
      <w:r w:rsidRPr="00CE3285">
        <w:rPr>
          <w:rFonts w:asciiTheme="majorHAnsi" w:hAnsiTheme="majorHAnsi"/>
          <w:color w:val="000000" w:themeColor="text1"/>
        </w:rPr>
        <w:t xml:space="preserve">It is vital for staff and educators to be involved in professional growth in the early childhood sector to allow greater efficiency in the operation of our Service. </w:t>
      </w:r>
      <w:r w:rsidRPr="00CE3285">
        <w:rPr>
          <w:rFonts w:asciiTheme="majorHAnsi" w:hAnsiTheme="majorHAnsi"/>
          <w:color w:val="000000" w:themeColor="text1"/>
        </w:rPr>
        <w:br/>
      </w:r>
    </w:p>
    <w:p w14:paraId="34DDD9CE" w14:textId="77777777" w:rsidR="00CE3285" w:rsidRPr="00CE3285" w:rsidRDefault="00CE3285" w:rsidP="00CE3285">
      <w:pPr>
        <w:spacing w:after="0" w:line="360" w:lineRule="auto"/>
        <w:rPr>
          <w:rFonts w:asciiTheme="majorHAnsi" w:hAnsiTheme="majorHAnsi"/>
          <w:color w:val="000000" w:themeColor="text1"/>
        </w:rPr>
      </w:pPr>
      <w:r w:rsidRPr="00CE3285">
        <w:rPr>
          <w:rFonts w:asciiTheme="majorHAnsi" w:hAnsiTheme="majorHAnsi"/>
          <w:color w:val="000000" w:themeColor="text1"/>
        </w:rPr>
        <w:t xml:space="preserve">We aim to implement a process for providing effective professional development opportunities based on employees’ strengths, interests, and goals. </w:t>
      </w:r>
    </w:p>
    <w:p w14:paraId="3DF98A14" w14:textId="77777777" w:rsidR="00CE3285" w:rsidRPr="00CE3285" w:rsidRDefault="00CE3285" w:rsidP="00CE3285">
      <w:pPr>
        <w:spacing w:after="0" w:line="360" w:lineRule="auto"/>
        <w:rPr>
          <w:rFonts w:asciiTheme="majorHAnsi" w:hAnsiTheme="majorHAnsi" w:cs="Arial"/>
          <w:color w:val="000000" w:themeColor="text1"/>
          <w:szCs w:val="18"/>
          <w:lang w:eastAsia="en-AU"/>
        </w:rPr>
      </w:pPr>
    </w:p>
    <w:p w14:paraId="2932FDBB" w14:textId="77777777" w:rsidR="00CE3285" w:rsidRPr="00CE3285" w:rsidRDefault="00CE3285" w:rsidP="00CE3285">
      <w:pPr>
        <w:spacing w:line="360" w:lineRule="auto"/>
        <w:rPr>
          <w:rFonts w:asciiTheme="majorHAnsi" w:hAnsiTheme="majorHAnsi" w:cs="Arial"/>
          <w:color w:val="000000" w:themeColor="text1"/>
        </w:rPr>
      </w:pPr>
      <w:r w:rsidRPr="00CE3285">
        <w:rPr>
          <w:rFonts w:cs="Arial"/>
          <w:color w:val="000000" w:themeColor="text1"/>
          <w:sz w:val="24"/>
          <w:szCs w:val="24"/>
        </w:rPr>
        <w:t>SCOPE</w:t>
      </w:r>
    </w:p>
    <w:p w14:paraId="243CA7F5" w14:textId="77777777" w:rsidR="00CE3285" w:rsidRPr="00CE3285" w:rsidRDefault="00CE3285" w:rsidP="00CE3285">
      <w:pPr>
        <w:rPr>
          <w:rFonts w:asciiTheme="majorHAnsi" w:hAnsiTheme="majorHAnsi"/>
          <w:color w:val="000000" w:themeColor="text1"/>
        </w:rPr>
      </w:pPr>
      <w:r w:rsidRPr="00CE3285">
        <w:rPr>
          <w:rFonts w:asciiTheme="majorHAnsi" w:hAnsiTheme="majorHAnsi"/>
          <w:color w:val="000000" w:themeColor="text1"/>
        </w:rPr>
        <w:t>This policy applies to staff and management of the Service.</w:t>
      </w:r>
    </w:p>
    <w:p w14:paraId="46041E3F" w14:textId="77777777" w:rsidR="00CE3285" w:rsidRPr="00CE3285" w:rsidRDefault="00CE3285" w:rsidP="00CE3285">
      <w:pPr>
        <w:spacing w:after="0" w:line="360" w:lineRule="auto"/>
        <w:rPr>
          <w:rFonts w:asciiTheme="majorHAnsi" w:hAnsiTheme="majorHAnsi"/>
          <w:color w:val="000000" w:themeColor="text1"/>
        </w:rPr>
      </w:pPr>
    </w:p>
    <w:p w14:paraId="2709323A" w14:textId="77777777" w:rsidR="00CE3285" w:rsidRPr="00CE3285" w:rsidRDefault="00CE3285" w:rsidP="00CE3285">
      <w:pPr>
        <w:spacing w:line="360" w:lineRule="auto"/>
        <w:rPr>
          <w:rFonts w:asciiTheme="majorHAnsi" w:hAnsiTheme="majorHAnsi" w:cs="Arial"/>
          <w:color w:val="000000" w:themeColor="text1"/>
        </w:rPr>
      </w:pPr>
      <w:r w:rsidRPr="00CE3285">
        <w:rPr>
          <w:rFonts w:cs="Arial"/>
          <w:color w:val="000000" w:themeColor="text1"/>
          <w:sz w:val="24"/>
          <w:szCs w:val="24"/>
        </w:rPr>
        <w:t>IMPLEMENTATION</w:t>
      </w:r>
    </w:p>
    <w:p w14:paraId="26D89EA8" w14:textId="77777777" w:rsidR="00CE3285" w:rsidRPr="00CE3285" w:rsidRDefault="00CE3285" w:rsidP="00CE3285">
      <w:pPr>
        <w:spacing w:line="360" w:lineRule="auto"/>
        <w:rPr>
          <w:rFonts w:asciiTheme="majorHAnsi" w:hAnsiTheme="majorHAnsi"/>
          <w:color w:val="000000" w:themeColor="text1"/>
        </w:rPr>
      </w:pPr>
      <w:r w:rsidRPr="00CE3285">
        <w:rPr>
          <w:rFonts w:asciiTheme="majorHAnsi" w:hAnsiTheme="majorHAnsi"/>
          <w:color w:val="000000" w:themeColor="text1"/>
        </w:rPr>
        <w:t>Working with young children and families is complex and challenging work. Current research in the field of brain science and the developments in theoretical perspectives and approaches to early childhood education are rapidly expanding the knowledge and theory base that we draw on to guide our practice.</w:t>
      </w:r>
    </w:p>
    <w:p w14:paraId="5F4B66B9" w14:textId="77777777" w:rsidR="00CE3285" w:rsidRPr="00CE3285" w:rsidRDefault="00CE3285" w:rsidP="00CE3285">
      <w:pPr>
        <w:spacing w:line="360" w:lineRule="auto"/>
        <w:rPr>
          <w:rFonts w:asciiTheme="majorHAnsi" w:hAnsiTheme="majorHAnsi"/>
          <w:color w:val="000000" w:themeColor="text1"/>
        </w:rPr>
      </w:pPr>
      <w:r w:rsidRPr="00CE3285">
        <w:rPr>
          <w:rFonts w:asciiTheme="majorHAnsi" w:hAnsiTheme="majorHAnsi"/>
          <w:color w:val="000000" w:themeColor="text1"/>
        </w:rPr>
        <w:t xml:space="preserve">Whilst the amount of change and growth in the early childhood sector presents us with great opportunities for increasing the quality of our services, adapting </w:t>
      </w:r>
      <w:proofErr w:type="gramStart"/>
      <w:r w:rsidRPr="00CE3285">
        <w:rPr>
          <w:rFonts w:asciiTheme="majorHAnsi" w:hAnsiTheme="majorHAnsi"/>
          <w:color w:val="000000" w:themeColor="text1"/>
        </w:rPr>
        <w:t>to</w:t>
      </w:r>
      <w:proofErr w:type="gramEnd"/>
      <w:r w:rsidRPr="00CE3285">
        <w:rPr>
          <w:rFonts w:asciiTheme="majorHAnsi" w:hAnsiTheme="majorHAnsi"/>
          <w:color w:val="000000" w:themeColor="text1"/>
        </w:rPr>
        <w:t xml:space="preserve"> and working positively with change and trying to keep up to date with theory and research is indeed a challenge. Professional development, when planned and implemented effectively, is a key tool that can be used to support us.</w:t>
      </w:r>
    </w:p>
    <w:p w14:paraId="6AB0C349" w14:textId="77777777" w:rsidR="00CE3285" w:rsidRPr="00CE3285" w:rsidRDefault="00CE3285" w:rsidP="00CE3285">
      <w:pPr>
        <w:spacing w:line="360" w:lineRule="auto"/>
        <w:rPr>
          <w:rFonts w:asciiTheme="majorHAnsi" w:hAnsiTheme="majorHAnsi" w:cs="Calibri"/>
          <w:snapToGrid w:val="0"/>
          <w:color w:val="000000" w:themeColor="text1"/>
        </w:rPr>
      </w:pPr>
      <w:r w:rsidRPr="00CE3285">
        <w:rPr>
          <w:rFonts w:asciiTheme="majorHAnsi" w:hAnsiTheme="majorHAnsi" w:cs="Calibri"/>
          <w:snapToGrid w:val="0"/>
          <w:color w:val="000000" w:themeColor="text1"/>
        </w:rPr>
        <w:t xml:space="preserve">We employ compassionate, </w:t>
      </w:r>
      <w:proofErr w:type="gramStart"/>
      <w:r w:rsidRPr="00CE3285">
        <w:rPr>
          <w:rFonts w:asciiTheme="majorHAnsi" w:hAnsiTheme="majorHAnsi" w:cs="Calibri"/>
          <w:snapToGrid w:val="0"/>
          <w:color w:val="000000" w:themeColor="text1"/>
        </w:rPr>
        <w:t>dedicated</w:t>
      </w:r>
      <w:proofErr w:type="gramEnd"/>
      <w:r w:rsidRPr="00CE3285">
        <w:rPr>
          <w:rFonts w:asciiTheme="majorHAnsi" w:hAnsiTheme="majorHAnsi" w:cs="Calibri"/>
          <w:snapToGrid w:val="0"/>
          <w:color w:val="000000" w:themeColor="text1"/>
        </w:rPr>
        <w:t xml:space="preserve"> and proficient educators who bring a high skill level, appropriate qualifications and varying amounts of experience to support implementation of our curriculum and philosophy. To maintain our commitment to quality education and care, we will implement a performance appraisal procedure.</w:t>
      </w:r>
    </w:p>
    <w:p w14:paraId="1A40BFEF" w14:textId="77777777" w:rsidR="00CE3285" w:rsidRPr="00CE3285" w:rsidRDefault="00CE3285" w:rsidP="00CE3285">
      <w:pPr>
        <w:suppressAutoHyphens/>
        <w:spacing w:after="0" w:line="360" w:lineRule="auto"/>
        <w:rPr>
          <w:rFonts w:asciiTheme="majorHAnsi" w:hAnsiTheme="majorHAnsi" w:cs="Calibri"/>
          <w:snapToGrid w:val="0"/>
          <w:color w:val="000000" w:themeColor="text1"/>
        </w:rPr>
      </w:pPr>
      <w:r w:rsidRPr="00CE3285">
        <w:rPr>
          <w:rFonts w:asciiTheme="majorHAnsi" w:hAnsiTheme="majorHAnsi" w:cs="Calibri"/>
          <w:snapToGrid w:val="0"/>
          <w:color w:val="000000" w:themeColor="text1"/>
        </w:rPr>
        <w:lastRenderedPageBreak/>
        <w:t>Professional Development will be provided on a justifiable foundation to all educators and staff and may include:</w:t>
      </w:r>
    </w:p>
    <w:p w14:paraId="410FE354"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mentoring by appropriate educators/staff</w:t>
      </w:r>
    </w:p>
    <w:p w14:paraId="1990ED80"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observing each other’s practice through peer observation</w:t>
      </w:r>
    </w:p>
    <w:p w14:paraId="67F41520"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in-house workshops run by an external agency or trainer (training organization must through an approved RTO)</w:t>
      </w:r>
    </w:p>
    <w:p w14:paraId="19DB4D5C"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 xml:space="preserve">external workshops, </w:t>
      </w:r>
      <w:proofErr w:type="gramStart"/>
      <w:r w:rsidRPr="00CE3285">
        <w:rPr>
          <w:rFonts w:asciiTheme="majorHAnsi" w:hAnsiTheme="majorHAnsi"/>
          <w:snapToGrid w:val="0"/>
          <w:color w:val="000000" w:themeColor="text1"/>
        </w:rPr>
        <w:t>seminars</w:t>
      </w:r>
      <w:proofErr w:type="gramEnd"/>
      <w:r w:rsidRPr="00CE3285">
        <w:rPr>
          <w:rFonts w:asciiTheme="majorHAnsi" w:hAnsiTheme="majorHAnsi"/>
          <w:snapToGrid w:val="0"/>
          <w:color w:val="000000" w:themeColor="text1"/>
        </w:rPr>
        <w:t xml:space="preserve"> and conferences</w:t>
      </w:r>
    </w:p>
    <w:p w14:paraId="0D338902"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online training through e-modules and webinars</w:t>
      </w:r>
    </w:p>
    <w:p w14:paraId="0D1BC940"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 xml:space="preserve">formal TAFE, </w:t>
      </w:r>
      <w:proofErr w:type="gramStart"/>
      <w:r w:rsidRPr="00CE3285">
        <w:rPr>
          <w:rFonts w:asciiTheme="majorHAnsi" w:hAnsiTheme="majorHAnsi"/>
          <w:snapToGrid w:val="0"/>
          <w:color w:val="000000" w:themeColor="text1"/>
        </w:rPr>
        <w:t>college</w:t>
      </w:r>
      <w:proofErr w:type="gramEnd"/>
      <w:r w:rsidRPr="00CE3285">
        <w:rPr>
          <w:rFonts w:asciiTheme="majorHAnsi" w:hAnsiTheme="majorHAnsi"/>
          <w:snapToGrid w:val="0"/>
          <w:color w:val="000000" w:themeColor="text1"/>
        </w:rPr>
        <w:t xml:space="preserve"> or University courses (check with </w:t>
      </w:r>
      <w:hyperlink r:id="rId8" w:history="1">
        <w:r w:rsidRPr="00CE3285">
          <w:rPr>
            <w:rStyle w:val="Hyperlink"/>
            <w:rFonts w:asciiTheme="majorHAnsi" w:hAnsiTheme="majorHAnsi"/>
            <w:snapToGrid w:val="0"/>
            <w:color w:val="000000" w:themeColor="text1"/>
          </w:rPr>
          <w:t>ACECQA for list of approved qualifications</w:t>
        </w:r>
      </w:hyperlink>
      <w:r w:rsidRPr="00CE3285">
        <w:rPr>
          <w:rFonts w:asciiTheme="majorHAnsi" w:hAnsiTheme="majorHAnsi"/>
          <w:snapToGrid w:val="0"/>
          <w:color w:val="000000" w:themeColor="text1"/>
        </w:rPr>
        <w:t>)</w:t>
      </w:r>
    </w:p>
    <w:p w14:paraId="7E046693"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on-the-job training (</w:t>
      </w:r>
      <w:proofErr w:type="gramStart"/>
      <w:r w:rsidRPr="00CE3285">
        <w:rPr>
          <w:rFonts w:asciiTheme="majorHAnsi" w:hAnsiTheme="majorHAnsi"/>
          <w:snapToGrid w:val="0"/>
          <w:color w:val="000000" w:themeColor="text1"/>
        </w:rPr>
        <w:t>e.g.</w:t>
      </w:r>
      <w:proofErr w:type="gramEnd"/>
      <w:r w:rsidRPr="00CE3285">
        <w:rPr>
          <w:rFonts w:asciiTheme="majorHAnsi" w:hAnsiTheme="majorHAnsi"/>
          <w:snapToGrid w:val="0"/>
          <w:color w:val="000000" w:themeColor="text1"/>
        </w:rPr>
        <w:t xml:space="preserve"> through changes in role or through exchange of information between educators/staff)</w:t>
      </w:r>
    </w:p>
    <w:p w14:paraId="09E01CCD"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educator and management exchanges between Services</w:t>
      </w:r>
    </w:p>
    <w:p w14:paraId="75BDA0A3" w14:textId="77777777" w:rsidR="00CE3285" w:rsidRPr="00CE3285" w:rsidRDefault="00CE3285" w:rsidP="00CE3285">
      <w:pPr>
        <w:pStyle w:val="NoSpacing"/>
        <w:numPr>
          <w:ilvl w:val="0"/>
          <w:numId w:val="30"/>
        </w:numPr>
        <w:spacing w:line="360" w:lineRule="auto"/>
        <w:rPr>
          <w:rFonts w:asciiTheme="majorHAnsi" w:hAnsiTheme="majorHAnsi"/>
          <w:snapToGrid w:val="0"/>
          <w:color w:val="000000" w:themeColor="text1"/>
        </w:rPr>
      </w:pPr>
      <w:r w:rsidRPr="00CE3285">
        <w:rPr>
          <w:rFonts w:asciiTheme="majorHAnsi" w:hAnsiTheme="majorHAnsi"/>
          <w:snapToGrid w:val="0"/>
          <w:color w:val="000000" w:themeColor="text1"/>
        </w:rPr>
        <w:t>provision of appropriate resources (books, movies, documentaries etc.).</w:t>
      </w:r>
      <w:r w:rsidRPr="00CE3285">
        <w:rPr>
          <w:rFonts w:asciiTheme="majorHAnsi" w:hAnsiTheme="majorHAnsi"/>
          <w:snapToGrid w:val="0"/>
          <w:color w:val="000000" w:themeColor="text1"/>
        </w:rPr>
        <w:br/>
      </w:r>
    </w:p>
    <w:p w14:paraId="06C887F4" w14:textId="77777777" w:rsidR="00CE3285" w:rsidRPr="00CE3285" w:rsidRDefault="00CE3285" w:rsidP="00CE3285">
      <w:pPr>
        <w:rPr>
          <w:rFonts w:asciiTheme="majorHAnsi" w:hAnsiTheme="majorHAnsi"/>
          <w:color w:val="000000" w:themeColor="text1"/>
        </w:rPr>
      </w:pPr>
      <w:r w:rsidRPr="00CE3285">
        <w:rPr>
          <w:rFonts w:cs="Arial"/>
          <w:color w:val="000000" w:themeColor="text1"/>
          <w:sz w:val="24"/>
          <w:szCs w:val="24"/>
          <w:lang w:val="en-US"/>
        </w:rPr>
        <w:t xml:space="preserve">Management/ Educational Leader/ Nominated Supervisor will </w:t>
      </w:r>
    </w:p>
    <w:p w14:paraId="56143D22"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encourage professional growth for all staff to improve the learning outcomes for children</w:t>
      </w:r>
    </w:p>
    <w:p w14:paraId="617A229B"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implement best practice to ensure all staff develop their own professional learning plan</w:t>
      </w:r>
    </w:p>
    <w:p w14:paraId="258E8BAC"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support Educators to further their professional growth and achieve accreditation under the Australian Professional Standards for Teachers</w:t>
      </w:r>
    </w:p>
    <w:p w14:paraId="68910685"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link professional development to areas identified in the Quality Improvement Plan</w:t>
      </w:r>
    </w:p>
    <w:p w14:paraId="1EB40FA2"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facilitate reflective practice as a form of ongoing professional learning for all staff</w:t>
      </w:r>
    </w:p>
    <w:p w14:paraId="7CC8823B"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ensure all staff, educators and management attend a minimum of 4 in-service training events each year</w:t>
      </w:r>
    </w:p>
    <w:p w14:paraId="3338FD1B" w14:textId="77777777" w:rsidR="00CE3285" w:rsidRPr="00CE3285" w:rsidRDefault="00CE3285" w:rsidP="00CE3285">
      <w:pPr>
        <w:numPr>
          <w:ilvl w:val="0"/>
          <w:numId w:val="32"/>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ensure, as a minimum, that all staff undertake Child Protection training every 12-18 months or as legislative changes are made as a minimum to ensure knowledge is current</w:t>
      </w:r>
    </w:p>
    <w:p w14:paraId="2C52CF66" w14:textId="77777777" w:rsidR="00CE3285" w:rsidRPr="00CE3285" w:rsidRDefault="00CE3285" w:rsidP="00CE3285">
      <w:pPr>
        <w:numPr>
          <w:ilvl w:val="0"/>
          <w:numId w:val="32"/>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support Educators to undertake WHS training as a part of their in-service training</w:t>
      </w:r>
    </w:p>
    <w:p w14:paraId="7FEB46AE" w14:textId="77777777" w:rsidR="00CE3285" w:rsidRPr="00CE3285" w:rsidRDefault="00CE3285" w:rsidP="00CE3285">
      <w:pPr>
        <w:pStyle w:val="ListParagraph"/>
        <w:numPr>
          <w:ilvl w:val="0"/>
          <w:numId w:val="32"/>
        </w:numPr>
        <w:spacing w:after="0" w:line="360" w:lineRule="auto"/>
        <w:ind w:left="357" w:hanging="357"/>
        <w:rPr>
          <w:rFonts w:asciiTheme="majorHAnsi" w:hAnsiTheme="majorHAnsi"/>
          <w:color w:val="000000" w:themeColor="text1"/>
        </w:rPr>
      </w:pPr>
      <w:r w:rsidRPr="00CE3285">
        <w:rPr>
          <w:rFonts w:asciiTheme="majorHAnsi" w:hAnsiTheme="majorHAnsi"/>
          <w:color w:val="000000" w:themeColor="text1"/>
        </w:rPr>
        <w:t xml:space="preserve">ensure funds are set aside for training and development needs in the annual budget </w:t>
      </w:r>
    </w:p>
    <w:p w14:paraId="00037E1F" w14:textId="77777777" w:rsidR="00CE3285" w:rsidRPr="00CE3285" w:rsidRDefault="00CE3285" w:rsidP="00CE3285">
      <w:pPr>
        <w:numPr>
          <w:ilvl w:val="0"/>
          <w:numId w:val="32"/>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support Educators in furthering their professional skills and knowledge by paying for required training requested by management (travel will be at the staff and educator’s own expense)</w:t>
      </w:r>
    </w:p>
    <w:p w14:paraId="210A16F2" w14:textId="77777777" w:rsidR="00CE3285" w:rsidRPr="00CE3285" w:rsidRDefault="00CE3285" w:rsidP="00CE3285">
      <w:pPr>
        <w:numPr>
          <w:ilvl w:val="0"/>
          <w:numId w:val="32"/>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 xml:space="preserve">approve all in-services prior to booking (for events which are paid for or subsidised by the Service). Only in-services which are beneficial to the Service and other Educators and approved by NESA will be approved for payment, at the discretion of the Educational Leader. </w:t>
      </w:r>
    </w:p>
    <w:p w14:paraId="1B1F17C9" w14:textId="77777777" w:rsidR="00CE3285" w:rsidRPr="00CE3285" w:rsidRDefault="00CE3285" w:rsidP="00CE3285">
      <w:pPr>
        <w:numPr>
          <w:ilvl w:val="0"/>
          <w:numId w:val="32"/>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approve any additional professional development cost requested above the minimum expected training on an individual basis</w:t>
      </w:r>
    </w:p>
    <w:p w14:paraId="12E04177" w14:textId="77777777" w:rsidR="00CE3285" w:rsidRPr="00CE3285" w:rsidRDefault="00CE3285" w:rsidP="00CE3285">
      <w:pPr>
        <w:spacing w:after="0" w:line="360" w:lineRule="auto"/>
        <w:rPr>
          <w:rFonts w:asciiTheme="majorHAnsi" w:hAnsiTheme="majorHAnsi" w:cs="Calibri"/>
          <w:color w:val="000000" w:themeColor="text1"/>
        </w:rPr>
      </w:pPr>
    </w:p>
    <w:p w14:paraId="403C4058" w14:textId="77777777" w:rsidR="00CE3285" w:rsidRPr="00CE3285" w:rsidRDefault="00CE3285" w:rsidP="00CE3285">
      <w:pPr>
        <w:spacing w:after="0" w:line="360" w:lineRule="auto"/>
        <w:rPr>
          <w:rFonts w:asciiTheme="majorHAnsi" w:hAnsiTheme="majorHAnsi"/>
          <w:color w:val="000000" w:themeColor="text1"/>
          <w:sz w:val="24"/>
        </w:rPr>
      </w:pPr>
    </w:p>
    <w:p w14:paraId="627D4473" w14:textId="77777777" w:rsidR="00CE3285" w:rsidRPr="00CE3285" w:rsidRDefault="00CE3285" w:rsidP="00CE3285">
      <w:pPr>
        <w:spacing w:after="0" w:line="360" w:lineRule="auto"/>
        <w:rPr>
          <w:rFonts w:asciiTheme="majorHAnsi" w:hAnsiTheme="majorHAnsi"/>
          <w:color w:val="000000" w:themeColor="text1"/>
          <w:sz w:val="24"/>
        </w:rPr>
      </w:pPr>
      <w:r w:rsidRPr="00CE3285">
        <w:rPr>
          <w:rFonts w:asciiTheme="majorHAnsi" w:hAnsiTheme="majorHAnsi"/>
          <w:color w:val="000000" w:themeColor="text1"/>
          <w:sz w:val="24"/>
        </w:rPr>
        <w:t>Educators will</w:t>
      </w:r>
    </w:p>
    <w:p w14:paraId="7AB7D514"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develop a professional learning plan identifying their needs and areas for development</w:t>
      </w:r>
    </w:p>
    <w:p w14:paraId="79765048"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attend a minimum of 4 in-services events each year</w:t>
      </w:r>
    </w:p>
    <w:p w14:paraId="4AF2C946"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undertake ACECQA approved First Aid qualifications every three years and supply the Service with current certificates</w:t>
      </w:r>
    </w:p>
    <w:p w14:paraId="5F206AA7"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ensure ACECQA approved Asthma and Anaphylaxis management training is kept up to date every 3 years</w:t>
      </w:r>
    </w:p>
    <w:p w14:paraId="79A87BE8"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ensure CPR refresher training is completed annually</w:t>
      </w:r>
    </w:p>
    <w:p w14:paraId="4FA65B0E"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attend any required training set by management to enhance Educator’s skills and knowledge</w:t>
      </w:r>
    </w:p>
    <w:p w14:paraId="3C0017F4"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present their newly acquired skills and knowledge gained with their colleagues</w:t>
      </w:r>
    </w:p>
    <w:p w14:paraId="6AA3CCBF" w14:textId="77777777" w:rsidR="00CE3285" w:rsidRPr="00CE3285" w:rsidRDefault="00CE3285" w:rsidP="00CE3285">
      <w:pPr>
        <w:numPr>
          <w:ilvl w:val="0"/>
          <w:numId w:val="34"/>
        </w:numPr>
        <w:spacing w:after="0" w:line="360" w:lineRule="auto"/>
        <w:ind w:left="357" w:hanging="357"/>
        <w:rPr>
          <w:rFonts w:asciiTheme="majorHAnsi" w:hAnsiTheme="majorHAnsi" w:cs="Calibri"/>
          <w:color w:val="000000" w:themeColor="text1"/>
        </w:rPr>
      </w:pPr>
      <w:r w:rsidRPr="00CE3285">
        <w:rPr>
          <w:rFonts w:asciiTheme="majorHAnsi" w:hAnsiTheme="majorHAnsi" w:cs="Calibri"/>
          <w:color w:val="000000" w:themeColor="text1"/>
        </w:rPr>
        <w:t>monitor and document their own record of Pedagogy reflection showing their commitment to reflective practice and ongoing professional development, embracing it as life-long learning that involves engaging with questions of philosophy, ethics, and practice, and their influence on the learning environment.</w:t>
      </w:r>
      <w:r w:rsidRPr="00CE3285">
        <w:rPr>
          <w:rFonts w:asciiTheme="majorHAnsi" w:hAnsiTheme="majorHAnsi" w:cs="Calibri"/>
          <w:color w:val="000000" w:themeColor="text1"/>
        </w:rPr>
        <w:br/>
      </w:r>
    </w:p>
    <w:p w14:paraId="28F2A4D0" w14:textId="77777777" w:rsidR="00CE3285" w:rsidRPr="00CE3285" w:rsidRDefault="00CE3285" w:rsidP="00CE3285">
      <w:pPr>
        <w:spacing w:line="360" w:lineRule="auto"/>
        <w:rPr>
          <w:rFonts w:cs="Arial"/>
          <w:color w:val="000000" w:themeColor="text1"/>
          <w:sz w:val="24"/>
          <w:szCs w:val="24"/>
          <w:lang w:val="en-US"/>
        </w:rPr>
      </w:pPr>
      <w:r w:rsidRPr="00CE3285">
        <w:rPr>
          <w:rFonts w:cs="Arial"/>
          <w:color w:val="000000" w:themeColor="text1"/>
          <w:sz w:val="24"/>
          <w:szCs w:val="24"/>
          <w:lang w:val="en-US"/>
        </w:rPr>
        <w:t>Source</w:t>
      </w:r>
    </w:p>
    <w:p w14:paraId="7FA988D7" w14:textId="77777777" w:rsidR="00CE3285" w:rsidRPr="00CE3285" w:rsidRDefault="00CE3285" w:rsidP="00CE3285">
      <w:pPr>
        <w:spacing w:line="240" w:lineRule="auto"/>
        <w:rPr>
          <w:rFonts w:asciiTheme="majorHAnsi" w:hAnsiTheme="majorHAnsi"/>
          <w:color w:val="000000" w:themeColor="text1"/>
          <w:sz w:val="20"/>
          <w:szCs w:val="20"/>
        </w:rPr>
      </w:pPr>
      <w:bookmarkStart w:id="0" w:name="_Hlk535241907"/>
      <w:r w:rsidRPr="00CE3285">
        <w:rPr>
          <w:rFonts w:asciiTheme="majorHAnsi" w:hAnsiTheme="majorHAnsi"/>
          <w:color w:val="000000" w:themeColor="text1"/>
          <w:sz w:val="20"/>
          <w:szCs w:val="20"/>
        </w:rPr>
        <w:t xml:space="preserve">Australian Children’s Education &amp; Care Quality Authority. (2014). </w:t>
      </w:r>
    </w:p>
    <w:p w14:paraId="25F392AC" w14:textId="77777777"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 xml:space="preserve">Australian Institute for Teaching and School Leadership, </w:t>
      </w:r>
      <w:proofErr w:type="spellStart"/>
      <w:r w:rsidRPr="00CE3285">
        <w:rPr>
          <w:rFonts w:asciiTheme="majorHAnsi" w:hAnsiTheme="majorHAnsi"/>
          <w:color w:val="000000" w:themeColor="text1"/>
          <w:sz w:val="20"/>
          <w:szCs w:val="20"/>
        </w:rPr>
        <w:t>aitsl</w:t>
      </w:r>
      <w:proofErr w:type="spellEnd"/>
      <w:r w:rsidRPr="00CE3285">
        <w:rPr>
          <w:rFonts w:asciiTheme="majorHAnsi" w:hAnsiTheme="majorHAnsi"/>
          <w:color w:val="000000" w:themeColor="text1"/>
          <w:sz w:val="20"/>
          <w:szCs w:val="20"/>
        </w:rPr>
        <w:t xml:space="preserve">. (2017). </w:t>
      </w:r>
    </w:p>
    <w:p w14:paraId="0C4E9FFD" w14:textId="77777777" w:rsidR="00CE3285" w:rsidRPr="00CE3285" w:rsidRDefault="00CE3285" w:rsidP="00CE3285">
      <w:pPr>
        <w:spacing w:line="240" w:lineRule="auto"/>
        <w:rPr>
          <w:rFonts w:asciiTheme="majorHAnsi" w:hAnsiTheme="majorHAnsi"/>
          <w:color w:val="000000" w:themeColor="text1"/>
          <w:sz w:val="20"/>
          <w:szCs w:val="20"/>
        </w:rPr>
      </w:pPr>
      <w:r w:rsidRPr="00CE3285">
        <w:rPr>
          <w:rFonts w:asciiTheme="majorHAnsi" w:hAnsiTheme="majorHAnsi"/>
          <w:color w:val="000000" w:themeColor="text1"/>
          <w:sz w:val="20"/>
          <w:szCs w:val="20"/>
        </w:rPr>
        <w:t xml:space="preserve">Australian Government Department of Education, </w:t>
      </w:r>
      <w:proofErr w:type="gramStart"/>
      <w:r w:rsidRPr="00CE3285">
        <w:rPr>
          <w:rFonts w:asciiTheme="majorHAnsi" w:hAnsiTheme="majorHAnsi"/>
          <w:color w:val="000000" w:themeColor="text1"/>
          <w:sz w:val="20"/>
          <w:szCs w:val="20"/>
        </w:rPr>
        <w:t>Skills</w:t>
      </w:r>
      <w:proofErr w:type="gramEnd"/>
      <w:r w:rsidRPr="00CE3285">
        <w:rPr>
          <w:rFonts w:asciiTheme="majorHAnsi" w:hAnsiTheme="majorHAnsi"/>
          <w:color w:val="000000" w:themeColor="text1"/>
          <w:sz w:val="20"/>
          <w:szCs w:val="20"/>
        </w:rPr>
        <w:t xml:space="preserve"> and Employment. </w:t>
      </w:r>
      <w:r w:rsidRPr="00CE3285">
        <w:rPr>
          <w:rFonts w:asciiTheme="majorHAnsi" w:hAnsiTheme="majorHAnsi"/>
          <w:i/>
          <w:iCs/>
          <w:color w:val="000000" w:themeColor="text1"/>
          <w:sz w:val="20"/>
          <w:szCs w:val="20"/>
        </w:rPr>
        <w:t>Belonging, Being and Becoming: The Early Years Learning Framework for Australia.</w:t>
      </w:r>
      <w:r w:rsidRPr="00CE3285">
        <w:rPr>
          <w:rFonts w:asciiTheme="majorHAnsi" w:hAnsiTheme="majorHAnsi"/>
          <w:color w:val="000000" w:themeColor="text1"/>
          <w:sz w:val="20"/>
          <w:szCs w:val="20"/>
        </w:rPr>
        <w:t xml:space="preserve"> (2009). </w:t>
      </w:r>
    </w:p>
    <w:p w14:paraId="3F5C55AC" w14:textId="77777777"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 xml:space="preserve">Australian Government Department of Education, </w:t>
      </w:r>
      <w:proofErr w:type="gramStart"/>
      <w:r w:rsidRPr="00CE3285">
        <w:rPr>
          <w:rFonts w:asciiTheme="majorHAnsi" w:hAnsiTheme="majorHAnsi"/>
          <w:color w:val="000000" w:themeColor="text1"/>
          <w:sz w:val="20"/>
          <w:szCs w:val="20"/>
        </w:rPr>
        <w:t>Skills</w:t>
      </w:r>
      <w:proofErr w:type="gramEnd"/>
      <w:r w:rsidRPr="00CE3285">
        <w:rPr>
          <w:rFonts w:asciiTheme="majorHAnsi" w:hAnsiTheme="majorHAnsi"/>
          <w:color w:val="000000" w:themeColor="text1"/>
          <w:sz w:val="20"/>
          <w:szCs w:val="20"/>
        </w:rPr>
        <w:t xml:space="preserve"> and Employment. </w:t>
      </w:r>
      <w:r w:rsidRPr="00CE3285">
        <w:rPr>
          <w:rFonts w:asciiTheme="majorHAnsi" w:hAnsiTheme="majorHAnsi"/>
          <w:i/>
          <w:iCs/>
          <w:color w:val="000000" w:themeColor="text1"/>
          <w:sz w:val="20"/>
          <w:szCs w:val="20"/>
        </w:rPr>
        <w:t>Leading Learning Circles for Educators Engaged in Study.</w:t>
      </w:r>
      <w:r w:rsidRPr="00CE3285">
        <w:rPr>
          <w:rFonts w:asciiTheme="majorHAnsi" w:hAnsiTheme="majorHAnsi"/>
          <w:color w:val="000000" w:themeColor="text1"/>
          <w:sz w:val="20"/>
          <w:szCs w:val="20"/>
        </w:rPr>
        <w:t xml:space="preserve"> (2016). </w:t>
      </w:r>
    </w:p>
    <w:p w14:paraId="544F7A21" w14:textId="77777777"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Early Childhood Australia Code of Ethics. (2016).</w:t>
      </w:r>
    </w:p>
    <w:p w14:paraId="080D2B3E" w14:textId="4466F014"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 xml:space="preserve">Guide to the Education and Care Services National Law and the Education and Care Services National Regulations. </w:t>
      </w:r>
      <w:r w:rsidRPr="00CE3285">
        <w:rPr>
          <w:rFonts w:asciiTheme="majorHAnsi" w:hAnsiTheme="majorHAnsi"/>
          <w:strike/>
          <w:color w:val="000000" w:themeColor="text1"/>
          <w:sz w:val="20"/>
          <w:szCs w:val="20"/>
        </w:rPr>
        <w:t>(</w:t>
      </w:r>
      <w:r w:rsidRPr="00CE3285">
        <w:rPr>
          <w:rFonts w:asciiTheme="majorHAnsi" w:hAnsiTheme="majorHAnsi"/>
          <w:color w:val="000000" w:themeColor="text1"/>
          <w:sz w:val="20"/>
          <w:szCs w:val="20"/>
        </w:rPr>
        <w:t>2020)</w:t>
      </w:r>
    </w:p>
    <w:p w14:paraId="7C40A889" w14:textId="77777777"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Guide to the National Quality Standard. (2017).</w:t>
      </w:r>
    </w:p>
    <w:p w14:paraId="578E86C1" w14:textId="77777777" w:rsidR="00CE3285" w:rsidRPr="00CE3285" w:rsidRDefault="00CE3285" w:rsidP="00CE3285">
      <w:pPr>
        <w:spacing w:line="240" w:lineRule="auto"/>
        <w:rPr>
          <w:rFonts w:asciiTheme="majorHAnsi" w:hAnsiTheme="majorHAnsi"/>
          <w:b/>
          <w:color w:val="000000" w:themeColor="text1"/>
          <w:sz w:val="20"/>
          <w:szCs w:val="20"/>
        </w:rPr>
      </w:pPr>
      <w:r w:rsidRPr="00CE3285">
        <w:rPr>
          <w:rFonts w:asciiTheme="majorHAnsi" w:hAnsiTheme="majorHAnsi"/>
          <w:color w:val="000000" w:themeColor="text1"/>
          <w:sz w:val="20"/>
          <w:szCs w:val="20"/>
        </w:rPr>
        <w:t>Revised National Quality Standard. (2018).</w:t>
      </w:r>
    </w:p>
    <w:bookmarkEnd w:id="0"/>
    <w:p w14:paraId="36BCC301" w14:textId="77777777" w:rsidR="00CE3285" w:rsidRDefault="00CE3285" w:rsidP="00954BF1">
      <w:pPr>
        <w:spacing w:line="360" w:lineRule="auto"/>
        <w:rPr>
          <w:rFonts w:asciiTheme="majorHAnsi" w:hAnsiTheme="majorHAnsi" w:cstheme="majorHAnsi"/>
          <w:color w:val="000000" w:themeColor="text1"/>
          <w:sz w:val="24"/>
          <w:szCs w:val="24"/>
        </w:rPr>
      </w:pPr>
    </w:p>
    <w:p w14:paraId="2FA93B2F" w14:textId="77777777" w:rsidR="00CE3285" w:rsidRDefault="00CE3285" w:rsidP="00954BF1">
      <w:pPr>
        <w:spacing w:line="360" w:lineRule="auto"/>
        <w:rPr>
          <w:rFonts w:asciiTheme="majorHAnsi" w:hAnsiTheme="majorHAnsi" w:cstheme="majorHAnsi"/>
          <w:color w:val="000000" w:themeColor="text1"/>
          <w:sz w:val="24"/>
          <w:szCs w:val="24"/>
        </w:rPr>
      </w:pPr>
    </w:p>
    <w:p w14:paraId="46AA60F1" w14:textId="77777777" w:rsidR="00CE3285" w:rsidRDefault="00CE3285" w:rsidP="00954BF1">
      <w:pPr>
        <w:spacing w:line="360" w:lineRule="auto"/>
        <w:rPr>
          <w:rFonts w:asciiTheme="majorHAnsi" w:hAnsiTheme="majorHAnsi" w:cstheme="majorHAnsi"/>
          <w:color w:val="000000" w:themeColor="text1"/>
          <w:sz w:val="24"/>
          <w:szCs w:val="24"/>
        </w:rPr>
      </w:pPr>
    </w:p>
    <w:p w14:paraId="25040B33" w14:textId="77777777" w:rsidR="00CE3285" w:rsidRDefault="00CE3285" w:rsidP="00954BF1">
      <w:pPr>
        <w:spacing w:line="360" w:lineRule="auto"/>
        <w:rPr>
          <w:rFonts w:asciiTheme="majorHAnsi" w:hAnsiTheme="majorHAnsi" w:cstheme="majorHAnsi"/>
          <w:color w:val="000000" w:themeColor="text1"/>
          <w:sz w:val="24"/>
          <w:szCs w:val="24"/>
        </w:rPr>
      </w:pPr>
    </w:p>
    <w:p w14:paraId="6894FC42" w14:textId="1155D61F" w:rsidR="00954BF1" w:rsidRPr="00CE3285" w:rsidRDefault="00954BF1" w:rsidP="00954BF1">
      <w:pPr>
        <w:spacing w:line="360" w:lineRule="auto"/>
        <w:rPr>
          <w:rFonts w:asciiTheme="majorHAnsi" w:hAnsiTheme="majorHAnsi" w:cstheme="majorHAnsi"/>
          <w:color w:val="000000" w:themeColor="text1"/>
        </w:rPr>
      </w:pPr>
      <w:r w:rsidRPr="00CE3285">
        <w:rPr>
          <w:rFonts w:asciiTheme="majorHAnsi" w:hAnsiTheme="majorHAnsi" w:cstheme="majorHAnsi"/>
          <w:color w:val="000000" w:themeColor="text1"/>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CE3285" w:rsidRPr="00CE3285" w14:paraId="26619A35" w14:textId="77777777" w:rsidTr="00A81408">
        <w:trPr>
          <w:trHeight w:val="574"/>
        </w:trPr>
        <w:tc>
          <w:tcPr>
            <w:tcW w:w="2235" w:type="dxa"/>
            <w:shd w:val="clear" w:color="auto" w:fill="F2F2F2" w:themeFill="background1" w:themeFillShade="F2"/>
            <w:vAlign w:val="center"/>
          </w:tcPr>
          <w:p w14:paraId="15E96E14" w14:textId="5F4F4CB2" w:rsidR="00CE3285" w:rsidRPr="00CE3285" w:rsidRDefault="00CE3285"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3730BB8D" w14:textId="0357EEC0" w:rsidR="00CE3285" w:rsidRPr="00CE3285" w:rsidRDefault="00CE3285" w:rsidP="00D85812">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Haidee </w:t>
            </w:r>
            <w:proofErr w:type="spellStart"/>
            <w:r>
              <w:rPr>
                <w:rFonts w:asciiTheme="majorHAnsi" w:hAnsiTheme="majorHAnsi" w:cstheme="majorHAnsi"/>
                <w:color w:val="000000" w:themeColor="text1"/>
                <w:sz w:val="24"/>
                <w:szCs w:val="24"/>
              </w:rPr>
              <w:t>Cheesewright</w:t>
            </w:r>
            <w:proofErr w:type="spellEnd"/>
          </w:p>
        </w:tc>
        <w:tc>
          <w:tcPr>
            <w:tcW w:w="2693" w:type="dxa"/>
            <w:gridSpan w:val="2"/>
            <w:shd w:val="clear" w:color="auto" w:fill="D9D9D9" w:themeFill="background1" w:themeFillShade="D9"/>
            <w:vAlign w:val="center"/>
          </w:tcPr>
          <w:p w14:paraId="6397D23C" w14:textId="3E25BCE6" w:rsidR="00CE3285" w:rsidRPr="00CE3285" w:rsidRDefault="00CE3285"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5269229C" w14:textId="7EAE3943" w:rsidR="00CE3285" w:rsidRPr="00CE3285" w:rsidRDefault="00CE3285" w:rsidP="00A8140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18.05.22</w:t>
            </w:r>
          </w:p>
        </w:tc>
      </w:tr>
      <w:tr w:rsidR="00CE3285" w:rsidRPr="00CE328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CE3285" w:rsidRDefault="00954BF1" w:rsidP="00A81408">
            <w:pP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7CAAFFEE" w:rsidR="00954BF1" w:rsidRPr="00CE3285" w:rsidRDefault="00062257" w:rsidP="00D85812">
            <w:pP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 xml:space="preserve">MAY </w:t>
            </w:r>
            <w:r w:rsidR="00954BF1" w:rsidRPr="00CE3285">
              <w:rPr>
                <w:rFonts w:asciiTheme="majorHAnsi" w:hAnsiTheme="majorHAnsi" w:cstheme="majorHAnsi"/>
                <w:color w:val="000000" w:themeColor="text1"/>
                <w:sz w:val="24"/>
                <w:szCs w:val="24"/>
              </w:rPr>
              <w:t>20</w:t>
            </w:r>
            <w:r w:rsidR="00E61448" w:rsidRPr="00CE3285">
              <w:rPr>
                <w:rFonts w:asciiTheme="majorHAnsi" w:hAnsiTheme="majorHAnsi" w:cstheme="majorHAnsi"/>
                <w:color w:val="000000" w:themeColor="text1"/>
                <w:sz w:val="24"/>
                <w:szCs w:val="24"/>
              </w:rPr>
              <w:t>2</w:t>
            </w:r>
            <w:r w:rsidR="00CE3285">
              <w:rPr>
                <w:rFonts w:asciiTheme="majorHAnsi" w:hAnsiTheme="majorHAnsi" w:cstheme="majorHAnsi"/>
                <w:color w:val="000000" w:themeColor="text1"/>
                <w:sz w:val="24"/>
                <w:szCs w:val="24"/>
              </w:rPr>
              <w:t>2</w:t>
            </w:r>
          </w:p>
        </w:tc>
        <w:tc>
          <w:tcPr>
            <w:tcW w:w="2693" w:type="dxa"/>
            <w:gridSpan w:val="2"/>
            <w:shd w:val="clear" w:color="auto" w:fill="D9D9D9" w:themeFill="background1" w:themeFillShade="D9"/>
            <w:vAlign w:val="center"/>
          </w:tcPr>
          <w:p w14:paraId="0EBB62B0" w14:textId="77777777" w:rsidR="00954BF1" w:rsidRPr="00CE3285" w:rsidRDefault="00954BF1" w:rsidP="00A81408">
            <w:pP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5C5BD00" w14:textId="135969C1" w:rsidR="00954BF1" w:rsidRPr="00CE3285" w:rsidRDefault="00062257" w:rsidP="00A81408">
            <w:pPr>
              <w:jc w:val="cente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MAY</w:t>
            </w:r>
            <w:r w:rsidR="00D85812" w:rsidRPr="00CE3285">
              <w:rPr>
                <w:rFonts w:asciiTheme="majorHAnsi" w:hAnsiTheme="majorHAnsi" w:cstheme="majorHAnsi"/>
                <w:color w:val="000000" w:themeColor="text1"/>
                <w:sz w:val="24"/>
                <w:szCs w:val="24"/>
              </w:rPr>
              <w:t xml:space="preserve"> </w:t>
            </w:r>
            <w:r w:rsidR="00E5094F" w:rsidRPr="00CE3285">
              <w:rPr>
                <w:rFonts w:asciiTheme="majorHAnsi" w:hAnsiTheme="majorHAnsi" w:cstheme="majorHAnsi"/>
                <w:color w:val="000000" w:themeColor="text1"/>
                <w:sz w:val="24"/>
                <w:szCs w:val="24"/>
              </w:rPr>
              <w:t>202</w:t>
            </w:r>
            <w:r w:rsidR="00CE3285">
              <w:rPr>
                <w:rFonts w:asciiTheme="majorHAnsi" w:hAnsiTheme="majorHAnsi" w:cstheme="majorHAnsi"/>
                <w:color w:val="000000" w:themeColor="text1"/>
                <w:sz w:val="24"/>
                <w:szCs w:val="24"/>
              </w:rPr>
              <w:t>3</w:t>
            </w:r>
          </w:p>
        </w:tc>
      </w:tr>
      <w:tr w:rsidR="00CE3285" w:rsidRPr="00CE3285" w14:paraId="3F679D1B" w14:textId="77777777" w:rsidTr="00D85812">
        <w:trPr>
          <w:trHeight w:val="1325"/>
        </w:trPr>
        <w:tc>
          <w:tcPr>
            <w:tcW w:w="2235" w:type="dxa"/>
            <w:vAlign w:val="center"/>
          </w:tcPr>
          <w:p w14:paraId="1C5D005C" w14:textId="77777777" w:rsidR="00954BF1" w:rsidRPr="00BF4C8F" w:rsidRDefault="00954BF1" w:rsidP="00A81408">
            <w:pPr>
              <w:jc w:val="center"/>
              <w:rPr>
                <w:rFonts w:asciiTheme="majorHAnsi" w:hAnsiTheme="majorHAnsi" w:cstheme="majorHAnsi"/>
                <w:color w:val="000000" w:themeColor="text1"/>
              </w:rPr>
            </w:pPr>
            <w:r w:rsidRPr="00BF4C8F">
              <w:rPr>
                <w:rFonts w:asciiTheme="majorHAnsi" w:hAnsiTheme="majorHAnsi" w:cstheme="majorHAnsi"/>
                <w:color w:val="000000" w:themeColor="text1"/>
                <w:sz w:val="24"/>
                <w:szCs w:val="24"/>
              </w:rPr>
              <w:t>MODIFICATIONS</w:t>
            </w:r>
          </w:p>
        </w:tc>
        <w:tc>
          <w:tcPr>
            <w:tcW w:w="6751" w:type="dxa"/>
            <w:gridSpan w:val="4"/>
            <w:vAlign w:val="center"/>
          </w:tcPr>
          <w:p w14:paraId="2DAE7849" w14:textId="77777777" w:rsidR="00BF4C8F" w:rsidRPr="00BF4C8F" w:rsidRDefault="00BF4C8F" w:rsidP="00BF4C8F">
            <w:pPr>
              <w:pStyle w:val="ListParagraph"/>
              <w:numPr>
                <w:ilvl w:val="0"/>
                <w:numId w:val="37"/>
              </w:numPr>
              <w:rPr>
                <w:rFonts w:asciiTheme="majorHAnsi" w:hAnsiTheme="majorHAnsi" w:cstheme="majorHAnsi"/>
                <w:color w:val="000000" w:themeColor="text1"/>
              </w:rPr>
            </w:pPr>
            <w:r w:rsidRPr="00BF4C8F">
              <w:rPr>
                <w:rFonts w:asciiTheme="majorHAnsi" w:hAnsiTheme="majorHAnsi" w:cstheme="majorHAnsi"/>
                <w:color w:val="000000" w:themeColor="text1"/>
              </w:rPr>
              <w:t>Additional regulations added</w:t>
            </w:r>
          </w:p>
          <w:p w14:paraId="194942D1" w14:textId="77777777" w:rsidR="00BF4C8F" w:rsidRPr="00BF4C8F" w:rsidRDefault="00BF4C8F" w:rsidP="00BF4C8F">
            <w:pPr>
              <w:pStyle w:val="ListParagraph"/>
              <w:numPr>
                <w:ilvl w:val="0"/>
                <w:numId w:val="37"/>
              </w:numPr>
              <w:rPr>
                <w:rFonts w:asciiTheme="majorHAnsi" w:hAnsiTheme="majorHAnsi" w:cstheme="majorHAnsi"/>
                <w:color w:val="000000" w:themeColor="text1"/>
              </w:rPr>
            </w:pPr>
            <w:r w:rsidRPr="00BF4C8F">
              <w:rPr>
                <w:rFonts w:asciiTheme="majorHAnsi" w:hAnsiTheme="majorHAnsi" w:cstheme="majorHAnsi"/>
                <w:color w:val="000000" w:themeColor="text1"/>
              </w:rPr>
              <w:t>Inclusion of Educational Leader</w:t>
            </w:r>
          </w:p>
          <w:p w14:paraId="2A950B8B" w14:textId="77777777" w:rsidR="00BF4C8F" w:rsidRPr="00BF4C8F" w:rsidRDefault="00BF4C8F" w:rsidP="00BF4C8F">
            <w:pPr>
              <w:pStyle w:val="ListParagraph"/>
              <w:numPr>
                <w:ilvl w:val="0"/>
                <w:numId w:val="37"/>
              </w:numPr>
              <w:rPr>
                <w:rFonts w:asciiTheme="majorHAnsi" w:hAnsiTheme="majorHAnsi" w:cstheme="majorHAnsi"/>
                <w:color w:val="000000" w:themeColor="text1"/>
              </w:rPr>
            </w:pPr>
            <w:r w:rsidRPr="00BF4C8F">
              <w:rPr>
                <w:rFonts w:asciiTheme="majorHAnsi" w:hAnsiTheme="majorHAnsi" w:cstheme="majorHAnsi"/>
                <w:color w:val="000000" w:themeColor="text1"/>
              </w:rPr>
              <w:t>Additional content related to Australian Professional Standards for Teachers</w:t>
            </w:r>
          </w:p>
          <w:p w14:paraId="29F537BA" w14:textId="32E88F24" w:rsidR="00954BF1" w:rsidRPr="00BF4C8F" w:rsidRDefault="00BF4C8F" w:rsidP="00BF4C8F">
            <w:pPr>
              <w:pStyle w:val="ListParagraph"/>
              <w:numPr>
                <w:ilvl w:val="0"/>
                <w:numId w:val="37"/>
              </w:numPr>
              <w:rPr>
                <w:rFonts w:asciiTheme="majorHAnsi" w:hAnsiTheme="majorHAnsi" w:cstheme="majorHAnsi"/>
                <w:color w:val="000000" w:themeColor="text1"/>
              </w:rPr>
            </w:pPr>
            <w:r w:rsidRPr="00BF4C8F">
              <w:rPr>
                <w:rFonts w:asciiTheme="majorHAnsi" w:hAnsiTheme="majorHAnsi" w:cstheme="majorHAnsi"/>
                <w:color w:val="000000" w:themeColor="text1"/>
              </w:rPr>
              <w:t>Additional content added</w:t>
            </w:r>
          </w:p>
        </w:tc>
      </w:tr>
      <w:tr w:rsidR="00CE3285" w:rsidRPr="00CE3285" w14:paraId="29CF33AA" w14:textId="77777777" w:rsidTr="00A81408">
        <w:trPr>
          <w:trHeight w:val="611"/>
        </w:trPr>
        <w:tc>
          <w:tcPr>
            <w:tcW w:w="2235" w:type="dxa"/>
            <w:shd w:val="clear" w:color="auto" w:fill="E7E6E6" w:themeFill="background2"/>
            <w:vAlign w:val="center"/>
          </w:tcPr>
          <w:p w14:paraId="0502FA0A" w14:textId="77777777" w:rsidR="00954BF1" w:rsidRPr="00CE3285" w:rsidRDefault="00954BF1" w:rsidP="00A81408">
            <w:pP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CE3285" w:rsidRDefault="00954BF1" w:rsidP="00A81408">
            <w:pPr>
              <w:rPr>
                <w:rFonts w:asciiTheme="majorHAnsi" w:hAnsiTheme="majorHAnsi" w:cstheme="majorHAnsi"/>
                <w:color w:val="000000" w:themeColor="text1"/>
              </w:rPr>
            </w:pPr>
            <w:r w:rsidRPr="00CE3285">
              <w:rPr>
                <w:rFonts w:asciiTheme="majorHAnsi" w:hAnsiTheme="majorHAnsi" w:cstheme="majorHAnsi"/>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CE3285" w:rsidRDefault="00954BF1" w:rsidP="00A81408">
            <w:pPr>
              <w:rPr>
                <w:rFonts w:asciiTheme="majorHAnsi" w:hAnsiTheme="majorHAnsi" w:cstheme="majorHAnsi"/>
                <w:color w:val="000000" w:themeColor="text1"/>
              </w:rPr>
            </w:pPr>
            <w:r w:rsidRPr="00CE3285">
              <w:rPr>
                <w:rFonts w:asciiTheme="majorHAnsi" w:hAnsiTheme="majorHAnsi" w:cstheme="majorHAnsi"/>
                <w:color w:val="000000" w:themeColor="text1"/>
                <w:sz w:val="24"/>
                <w:szCs w:val="24"/>
              </w:rPr>
              <w:t>NEXT REVIEW DATE</w:t>
            </w:r>
          </w:p>
        </w:tc>
      </w:tr>
      <w:tr w:rsidR="00E61448" w:rsidRPr="00CE3285" w14:paraId="05C9E6AD" w14:textId="77777777" w:rsidTr="00D85812">
        <w:trPr>
          <w:trHeight w:val="786"/>
        </w:trPr>
        <w:tc>
          <w:tcPr>
            <w:tcW w:w="2235" w:type="dxa"/>
            <w:vAlign w:val="center"/>
          </w:tcPr>
          <w:p w14:paraId="7B8D5570" w14:textId="31113183" w:rsidR="00E61448" w:rsidRPr="00CE3285" w:rsidRDefault="00062257" w:rsidP="00A81408">
            <w:pPr>
              <w:jc w:val="center"/>
              <w:rPr>
                <w:rFonts w:asciiTheme="majorHAnsi" w:hAnsiTheme="majorHAnsi" w:cstheme="majorHAnsi"/>
                <w:color w:val="000000" w:themeColor="text1"/>
                <w:sz w:val="24"/>
                <w:szCs w:val="24"/>
              </w:rPr>
            </w:pPr>
            <w:r w:rsidRPr="00CE3285">
              <w:rPr>
                <w:rFonts w:asciiTheme="majorHAnsi" w:hAnsiTheme="majorHAnsi" w:cstheme="majorHAnsi"/>
                <w:color w:val="000000" w:themeColor="text1"/>
                <w:sz w:val="24"/>
                <w:szCs w:val="24"/>
              </w:rPr>
              <w:t>May 202</w:t>
            </w:r>
            <w:r w:rsidR="00CE3285">
              <w:rPr>
                <w:rFonts w:asciiTheme="majorHAnsi" w:hAnsiTheme="majorHAnsi" w:cstheme="majorHAnsi"/>
                <w:color w:val="000000" w:themeColor="text1"/>
                <w:sz w:val="24"/>
                <w:szCs w:val="24"/>
              </w:rPr>
              <w:t>1</w:t>
            </w:r>
          </w:p>
        </w:tc>
        <w:tc>
          <w:tcPr>
            <w:tcW w:w="4500" w:type="dxa"/>
            <w:gridSpan w:val="2"/>
            <w:vAlign w:val="center"/>
          </w:tcPr>
          <w:p w14:paraId="0484988F" w14:textId="77777777" w:rsidR="00CE3285" w:rsidRPr="00CE3285" w:rsidRDefault="00CE3285" w:rsidP="00CE3285">
            <w:pPr>
              <w:pStyle w:val="ListParagraph"/>
              <w:numPr>
                <w:ilvl w:val="0"/>
                <w:numId w:val="37"/>
              </w:numPr>
              <w:rPr>
                <w:rFonts w:asciiTheme="majorHAnsi" w:hAnsiTheme="majorHAnsi" w:cstheme="majorHAnsi"/>
                <w:color w:val="000000" w:themeColor="text1"/>
              </w:rPr>
            </w:pPr>
            <w:r w:rsidRPr="00CE3285">
              <w:rPr>
                <w:rFonts w:asciiTheme="majorHAnsi" w:hAnsiTheme="majorHAnsi" w:cstheme="majorHAnsi"/>
                <w:color w:val="000000" w:themeColor="text1"/>
              </w:rPr>
              <w:t>Additional content related to Australian Professional Standards for Teachers</w:t>
            </w:r>
          </w:p>
          <w:p w14:paraId="7813B50D" w14:textId="6C80E5D5" w:rsidR="00E61448" w:rsidRPr="00CE3285" w:rsidRDefault="00E61448" w:rsidP="00E61448">
            <w:pPr>
              <w:rPr>
                <w:rFonts w:asciiTheme="majorHAnsi" w:hAnsiTheme="majorHAnsi" w:cstheme="majorHAnsi"/>
                <w:color w:val="000000" w:themeColor="text1"/>
              </w:rPr>
            </w:pPr>
          </w:p>
        </w:tc>
        <w:tc>
          <w:tcPr>
            <w:tcW w:w="2251" w:type="dxa"/>
            <w:gridSpan w:val="2"/>
            <w:vAlign w:val="center"/>
          </w:tcPr>
          <w:p w14:paraId="2715AE3B" w14:textId="59DAEEE3" w:rsidR="00E61448" w:rsidRPr="00CE3285" w:rsidRDefault="00CE3285" w:rsidP="00A81408">
            <w:pPr>
              <w:jc w:val="cente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May 2022</w:t>
            </w:r>
          </w:p>
        </w:tc>
      </w:tr>
    </w:tbl>
    <w:p w14:paraId="77E539D2" w14:textId="2E5062D5" w:rsidR="00D656E1" w:rsidRPr="00CE3285" w:rsidRDefault="00D656E1" w:rsidP="00B72B18">
      <w:pPr>
        <w:spacing w:line="360" w:lineRule="auto"/>
        <w:rPr>
          <w:rFonts w:asciiTheme="majorHAnsi" w:hAnsiTheme="majorHAnsi" w:cstheme="majorHAnsi"/>
          <w:color w:val="000000" w:themeColor="text1"/>
        </w:rPr>
      </w:pPr>
    </w:p>
    <w:sectPr w:rsidR="00D656E1" w:rsidRPr="00CE3285" w:rsidSect="00F852F9">
      <w:headerReference w:type="default" r:id="rId9"/>
      <w:footerReference w:type="default" r:id="rId1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9620" w14:textId="77777777" w:rsidR="001D544A" w:rsidRDefault="001D544A" w:rsidP="0021486F">
      <w:pPr>
        <w:spacing w:after="0" w:line="240" w:lineRule="auto"/>
      </w:pPr>
      <w:r>
        <w:separator/>
      </w:r>
    </w:p>
  </w:endnote>
  <w:endnote w:type="continuationSeparator" w:id="0">
    <w:p w14:paraId="5070E9BE" w14:textId="77777777" w:rsidR="001D544A" w:rsidRDefault="001D544A"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6F1" w14:textId="10A4BC46" w:rsidR="001C66CA" w:rsidRDefault="001C66CA" w:rsidP="00F83C27">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2971" w14:textId="77777777" w:rsidR="001D544A" w:rsidRDefault="001D544A" w:rsidP="0021486F">
      <w:pPr>
        <w:spacing w:after="0" w:line="240" w:lineRule="auto"/>
      </w:pPr>
      <w:r>
        <w:separator/>
      </w:r>
    </w:p>
  </w:footnote>
  <w:footnote w:type="continuationSeparator" w:id="0">
    <w:p w14:paraId="436FB244" w14:textId="77777777" w:rsidR="001D544A" w:rsidRDefault="001D544A"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93F59B0" w:rsidR="001C66CA" w:rsidRDefault="00062257">
    <w:pPr>
      <w:pStyle w:val="Header"/>
    </w:pPr>
    <w:r>
      <w:rPr>
        <w:noProof/>
        <w:sz w:val="48"/>
        <w:szCs w:val="44"/>
        <w:lang w:val="en-US"/>
      </w:rPr>
      <mc:AlternateContent>
        <mc:Choice Requires="wps">
          <w:drawing>
            <wp:anchor distT="0" distB="0" distL="114300" distR="114300" simplePos="0" relativeHeight="251659776" behindDoc="0" locked="0" layoutInCell="1" allowOverlap="1" wp14:anchorId="1C21A333" wp14:editId="3687477D">
              <wp:simplePos x="0" y="0"/>
              <wp:positionH relativeFrom="column">
                <wp:posOffset>-304800</wp:posOffset>
              </wp:positionH>
              <wp:positionV relativeFrom="paragraph">
                <wp:posOffset>-221615</wp:posOffset>
              </wp:positionV>
              <wp:extent cx="39433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2622F48F" w:rsidR="001C66CA" w:rsidRPr="00062257" w:rsidRDefault="00062257" w:rsidP="00A07751">
                          <w:pPr>
                            <w:rPr>
                              <w:rFonts w:ascii="Century Gothic" w:hAnsi="Century Gothic"/>
                              <w:color w:val="FFFFFF" w:themeColor="background1"/>
                              <w:sz w:val="28"/>
                              <w:szCs w:val="28"/>
                            </w:rPr>
                          </w:pPr>
                          <w:r w:rsidRPr="00062257">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10.5pt;height:27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" filled="f" stroked="f">
              <v:textbox>
                <w:txbxContent>
                  <w:p w14:paraId="32AB4840" w14:textId="2622F48F" w:rsidR="001C66CA" w:rsidRPr="00062257" w:rsidRDefault="00062257" w:rsidP="00A07751">
                    <w:pPr>
                      <w:rPr>
                        <w:rFonts w:ascii="Century Gothic" w:hAnsi="Century Gothic"/>
                        <w:color w:val="FFFFFF" w:themeColor="background1"/>
                        <w:sz w:val="28"/>
                        <w:szCs w:val="28"/>
                      </w:rPr>
                    </w:pPr>
                    <w:r w:rsidRPr="00062257">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5680" behindDoc="0" locked="0" layoutInCell="1" allowOverlap="1" wp14:anchorId="564FEF6C" wp14:editId="1E41D4B6">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57728" behindDoc="0" locked="0" layoutInCell="1" allowOverlap="1" wp14:anchorId="5C727EB8" wp14:editId="3C7F8866">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9612317"/>
    <w:multiLevelType w:val="hybridMultilevel"/>
    <w:tmpl w:val="C4929D2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423A63"/>
    <w:multiLevelType w:val="hybridMultilevel"/>
    <w:tmpl w:val="4120D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C35055"/>
    <w:multiLevelType w:val="hybridMultilevel"/>
    <w:tmpl w:val="160E99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056678"/>
    <w:multiLevelType w:val="hybridMultilevel"/>
    <w:tmpl w:val="AF12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1117FD"/>
    <w:multiLevelType w:val="hybridMultilevel"/>
    <w:tmpl w:val="02E09AD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6915984">
    <w:abstractNumId w:val="17"/>
  </w:num>
  <w:num w:numId="2" w16cid:durableId="1176115652">
    <w:abstractNumId w:val="9"/>
  </w:num>
  <w:num w:numId="3" w16cid:durableId="1498955417">
    <w:abstractNumId w:val="36"/>
  </w:num>
  <w:num w:numId="4" w16cid:durableId="490758754">
    <w:abstractNumId w:val="34"/>
  </w:num>
  <w:num w:numId="5" w16cid:durableId="178280986">
    <w:abstractNumId w:val="18"/>
  </w:num>
  <w:num w:numId="6" w16cid:durableId="1734504135">
    <w:abstractNumId w:val="7"/>
  </w:num>
  <w:num w:numId="7" w16cid:durableId="316152541">
    <w:abstractNumId w:val="24"/>
  </w:num>
  <w:num w:numId="8" w16cid:durableId="1810897415">
    <w:abstractNumId w:val="5"/>
  </w:num>
  <w:num w:numId="9" w16cid:durableId="612832732">
    <w:abstractNumId w:val="32"/>
  </w:num>
  <w:num w:numId="10" w16cid:durableId="561721205">
    <w:abstractNumId w:val="4"/>
  </w:num>
  <w:num w:numId="11" w16cid:durableId="1106458791">
    <w:abstractNumId w:val="15"/>
  </w:num>
  <w:num w:numId="12" w16cid:durableId="630593312">
    <w:abstractNumId w:val="0"/>
  </w:num>
  <w:num w:numId="13" w16cid:durableId="1657224056">
    <w:abstractNumId w:val="27"/>
  </w:num>
  <w:num w:numId="14" w16cid:durableId="957612831">
    <w:abstractNumId w:val="10"/>
  </w:num>
  <w:num w:numId="15" w16cid:durableId="115560601">
    <w:abstractNumId w:val="1"/>
  </w:num>
  <w:num w:numId="16" w16cid:durableId="1945334920">
    <w:abstractNumId w:val="19"/>
  </w:num>
  <w:num w:numId="17" w16cid:durableId="816186738">
    <w:abstractNumId w:val="6"/>
  </w:num>
  <w:num w:numId="18" w16cid:durableId="1263223547">
    <w:abstractNumId w:val="8"/>
  </w:num>
  <w:num w:numId="19" w16cid:durableId="1665428345">
    <w:abstractNumId w:val="13"/>
  </w:num>
  <w:num w:numId="20" w16cid:durableId="1542203947">
    <w:abstractNumId w:val="3"/>
  </w:num>
  <w:num w:numId="21" w16cid:durableId="713695613">
    <w:abstractNumId w:val="25"/>
  </w:num>
  <w:num w:numId="22" w16cid:durableId="689112823">
    <w:abstractNumId w:val="22"/>
  </w:num>
  <w:num w:numId="23" w16cid:durableId="1378504518">
    <w:abstractNumId w:val="26"/>
  </w:num>
  <w:num w:numId="24" w16cid:durableId="1161383526">
    <w:abstractNumId w:val="29"/>
  </w:num>
  <w:num w:numId="25" w16cid:durableId="1169060581">
    <w:abstractNumId w:val="21"/>
  </w:num>
  <w:num w:numId="26" w16cid:durableId="1436250447">
    <w:abstractNumId w:val="2"/>
  </w:num>
  <w:num w:numId="27" w16cid:durableId="2059472995">
    <w:abstractNumId w:val="30"/>
  </w:num>
  <w:num w:numId="28" w16cid:durableId="296110844">
    <w:abstractNumId w:val="16"/>
  </w:num>
  <w:num w:numId="29" w16cid:durableId="484861497">
    <w:abstractNumId w:val="35"/>
  </w:num>
  <w:num w:numId="30" w16cid:durableId="1268730262">
    <w:abstractNumId w:val="20"/>
  </w:num>
  <w:num w:numId="31" w16cid:durableId="1825317426">
    <w:abstractNumId w:val="33"/>
  </w:num>
  <w:num w:numId="32" w16cid:durableId="917447740">
    <w:abstractNumId w:val="12"/>
  </w:num>
  <w:num w:numId="33" w16cid:durableId="1865556704">
    <w:abstractNumId w:val="23"/>
  </w:num>
  <w:num w:numId="34" w16cid:durableId="1061907626">
    <w:abstractNumId w:val="31"/>
  </w:num>
  <w:num w:numId="35" w16cid:durableId="1106653668">
    <w:abstractNumId w:val="28"/>
  </w:num>
  <w:num w:numId="36" w16cid:durableId="2128503043">
    <w:abstractNumId w:val="11"/>
  </w:num>
  <w:num w:numId="37" w16cid:durableId="194519145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6875"/>
    <w:rsid w:val="00034A58"/>
    <w:rsid w:val="0005762D"/>
    <w:rsid w:val="00062257"/>
    <w:rsid w:val="000A6E28"/>
    <w:rsid w:val="000B5720"/>
    <w:rsid w:val="0010503A"/>
    <w:rsid w:val="001116BE"/>
    <w:rsid w:val="0013625E"/>
    <w:rsid w:val="00136ABB"/>
    <w:rsid w:val="00151775"/>
    <w:rsid w:val="001A52A2"/>
    <w:rsid w:val="001B42D4"/>
    <w:rsid w:val="001B7B60"/>
    <w:rsid w:val="001C66CA"/>
    <w:rsid w:val="001D1E2C"/>
    <w:rsid w:val="001D544A"/>
    <w:rsid w:val="00201E0F"/>
    <w:rsid w:val="0021486F"/>
    <w:rsid w:val="00226197"/>
    <w:rsid w:val="00232F55"/>
    <w:rsid w:val="00233657"/>
    <w:rsid w:val="0023380F"/>
    <w:rsid w:val="00244E80"/>
    <w:rsid w:val="002C4D32"/>
    <w:rsid w:val="00311614"/>
    <w:rsid w:val="0032241B"/>
    <w:rsid w:val="0032350F"/>
    <w:rsid w:val="00344B89"/>
    <w:rsid w:val="0036669C"/>
    <w:rsid w:val="003A4132"/>
    <w:rsid w:val="003A4C16"/>
    <w:rsid w:val="003D6AF9"/>
    <w:rsid w:val="003F59E7"/>
    <w:rsid w:val="003F6504"/>
    <w:rsid w:val="004162A3"/>
    <w:rsid w:val="0042395E"/>
    <w:rsid w:val="004309D6"/>
    <w:rsid w:val="0045799A"/>
    <w:rsid w:val="004A79B2"/>
    <w:rsid w:val="004B1ABE"/>
    <w:rsid w:val="005349C7"/>
    <w:rsid w:val="005504F7"/>
    <w:rsid w:val="005D148A"/>
    <w:rsid w:val="005D7F72"/>
    <w:rsid w:val="005F1D6D"/>
    <w:rsid w:val="005F6F48"/>
    <w:rsid w:val="00655F24"/>
    <w:rsid w:val="006A01FF"/>
    <w:rsid w:val="006E09A9"/>
    <w:rsid w:val="006F609D"/>
    <w:rsid w:val="00754AEB"/>
    <w:rsid w:val="007764EA"/>
    <w:rsid w:val="007E1EE6"/>
    <w:rsid w:val="007F0074"/>
    <w:rsid w:val="007F402A"/>
    <w:rsid w:val="008145AF"/>
    <w:rsid w:val="008156C7"/>
    <w:rsid w:val="00863FE6"/>
    <w:rsid w:val="008C253E"/>
    <w:rsid w:val="008D15E4"/>
    <w:rsid w:val="008E6DC8"/>
    <w:rsid w:val="008F4F94"/>
    <w:rsid w:val="009042A1"/>
    <w:rsid w:val="009059BD"/>
    <w:rsid w:val="00910CA0"/>
    <w:rsid w:val="009367C8"/>
    <w:rsid w:val="00954BF1"/>
    <w:rsid w:val="0097559D"/>
    <w:rsid w:val="009B4262"/>
    <w:rsid w:val="009B6618"/>
    <w:rsid w:val="009C4400"/>
    <w:rsid w:val="009D4235"/>
    <w:rsid w:val="00A07751"/>
    <w:rsid w:val="00A26872"/>
    <w:rsid w:val="00A34AC1"/>
    <w:rsid w:val="00A4155E"/>
    <w:rsid w:val="00A81408"/>
    <w:rsid w:val="00A92B43"/>
    <w:rsid w:val="00A97992"/>
    <w:rsid w:val="00AA21B4"/>
    <w:rsid w:val="00AB1AA1"/>
    <w:rsid w:val="00AC3C4D"/>
    <w:rsid w:val="00AF6C03"/>
    <w:rsid w:val="00B5523F"/>
    <w:rsid w:val="00B70EE2"/>
    <w:rsid w:val="00B72B18"/>
    <w:rsid w:val="00BD01D0"/>
    <w:rsid w:val="00BF4C8F"/>
    <w:rsid w:val="00BF758C"/>
    <w:rsid w:val="00C62BEF"/>
    <w:rsid w:val="00C93C51"/>
    <w:rsid w:val="00CC440D"/>
    <w:rsid w:val="00CC447C"/>
    <w:rsid w:val="00CE3285"/>
    <w:rsid w:val="00D00F97"/>
    <w:rsid w:val="00D168BA"/>
    <w:rsid w:val="00D36D51"/>
    <w:rsid w:val="00D4010C"/>
    <w:rsid w:val="00D4338B"/>
    <w:rsid w:val="00D656E1"/>
    <w:rsid w:val="00D76176"/>
    <w:rsid w:val="00D85812"/>
    <w:rsid w:val="00DB2B22"/>
    <w:rsid w:val="00DC50C3"/>
    <w:rsid w:val="00E5094F"/>
    <w:rsid w:val="00E61448"/>
    <w:rsid w:val="00E747B6"/>
    <w:rsid w:val="00E86824"/>
    <w:rsid w:val="00EB0FC2"/>
    <w:rsid w:val="00EE597E"/>
    <w:rsid w:val="00F01B4D"/>
    <w:rsid w:val="00F235D4"/>
    <w:rsid w:val="00F34D49"/>
    <w:rsid w:val="00F411F4"/>
    <w:rsid w:val="00F5739C"/>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0D065A99-62F0-4D51-8699-A5D299F1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D85812"/>
    <w:pPr>
      <w:spacing w:after="0" w:line="240" w:lineRule="auto"/>
    </w:pPr>
    <w:rPr>
      <w:rFonts w:eastAsiaTheme="minorEastAsia"/>
      <w:lang w:val="en-US" w:eastAsia="ja-JP"/>
    </w:rPr>
  </w:style>
  <w:style w:type="character" w:customStyle="1" w:styleId="UnresolvedMention1">
    <w:name w:val="Unresolved Mention1"/>
    <w:basedOn w:val="DefaultParagraphFont"/>
    <w:uiPriority w:val="99"/>
    <w:semiHidden/>
    <w:unhideWhenUsed/>
    <w:rsid w:val="00232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cqa.gov.au/qualifications/qualification-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4E42-1E9A-7643-BAF3-97626C8A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6</cp:revision>
  <cp:lastPrinted>2021-07-05T04:39:00Z</cp:lastPrinted>
  <dcterms:created xsi:type="dcterms:W3CDTF">2021-07-05T04:37:00Z</dcterms:created>
  <dcterms:modified xsi:type="dcterms:W3CDTF">2022-06-04T22:49:00Z</dcterms:modified>
</cp:coreProperties>
</file>